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4294" w:rsidRDefault="004E429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E4294" w:rsidRDefault="004E4294">
      <w:pPr>
        <w:pStyle w:val="ConsPlusNormal"/>
        <w:jc w:val="both"/>
        <w:outlineLvl w:val="0"/>
      </w:pPr>
    </w:p>
    <w:p w:rsidR="004E4294" w:rsidRDefault="004E4294">
      <w:pPr>
        <w:pStyle w:val="ConsPlusTitle"/>
        <w:jc w:val="center"/>
        <w:outlineLvl w:val="0"/>
      </w:pPr>
      <w:r>
        <w:t>КОМИТЕТ ПОТРЕБИТЕЛЬСКОГО РЫНКА, РАЗВИТИЯ МАЛОГО</w:t>
      </w:r>
    </w:p>
    <w:p w:rsidR="004E4294" w:rsidRDefault="004E4294">
      <w:pPr>
        <w:pStyle w:val="ConsPlusTitle"/>
        <w:jc w:val="center"/>
      </w:pPr>
      <w:r>
        <w:t>ПРЕДПРИНИМАТЕЛЬСТВА И ЛИЦЕНЗИРОВАНИЯ</w:t>
      </w:r>
    </w:p>
    <w:p w:rsidR="004E4294" w:rsidRDefault="004E4294">
      <w:pPr>
        <w:pStyle w:val="ConsPlusTitle"/>
        <w:jc w:val="center"/>
      </w:pPr>
      <w:r>
        <w:t>КУРСКОЙ ОБЛАСТИ</w:t>
      </w:r>
    </w:p>
    <w:p w:rsidR="004E4294" w:rsidRDefault="004E4294">
      <w:pPr>
        <w:pStyle w:val="ConsPlusTitle"/>
        <w:ind w:firstLine="540"/>
        <w:jc w:val="both"/>
      </w:pPr>
    </w:p>
    <w:p w:rsidR="004E4294" w:rsidRDefault="004E4294">
      <w:pPr>
        <w:pStyle w:val="ConsPlusTitle"/>
        <w:jc w:val="center"/>
      </w:pPr>
      <w:r>
        <w:t>ПРИКАЗ</w:t>
      </w:r>
    </w:p>
    <w:p w:rsidR="004E4294" w:rsidRDefault="004E4294">
      <w:pPr>
        <w:pStyle w:val="ConsPlusTitle"/>
        <w:jc w:val="center"/>
      </w:pPr>
      <w:r>
        <w:t>от 23 марта 2011 г. N 32</w:t>
      </w:r>
    </w:p>
    <w:p w:rsidR="004E4294" w:rsidRDefault="004E4294">
      <w:pPr>
        <w:pStyle w:val="ConsPlusTitle"/>
        <w:ind w:firstLine="540"/>
        <w:jc w:val="both"/>
      </w:pPr>
    </w:p>
    <w:p w:rsidR="004E4294" w:rsidRDefault="004E4294">
      <w:pPr>
        <w:pStyle w:val="ConsPlusTitle"/>
        <w:jc w:val="center"/>
      </w:pPr>
      <w:r>
        <w:t>О ПОРЯДКЕ РАЗРАБОТКИ И УТВЕРЖДЕНИЯ ОРГАНАМИ МЕСТНОГО</w:t>
      </w:r>
    </w:p>
    <w:p w:rsidR="004E4294" w:rsidRDefault="004E4294">
      <w:pPr>
        <w:pStyle w:val="ConsPlusTitle"/>
        <w:jc w:val="center"/>
      </w:pPr>
      <w:r>
        <w:t>САМОУПРАВЛЕНИЯ КУРСКОЙ ОБЛАСТИ СХЕМ РАЗМЕЩЕНИЯ</w:t>
      </w:r>
    </w:p>
    <w:p w:rsidR="004E4294" w:rsidRDefault="004E4294">
      <w:pPr>
        <w:pStyle w:val="ConsPlusTitle"/>
        <w:jc w:val="center"/>
      </w:pPr>
      <w:r>
        <w:t>НЕСТАЦИОНАРНЫХ ТОРГОВЫХ ОБЪЕКТОВ</w:t>
      </w:r>
    </w:p>
    <w:p w:rsidR="004E4294" w:rsidRDefault="004E42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2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потребительского рынка, развития малого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предпринимательства и лицензирования Курской области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от 25.12.2012 N 183)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</w:tr>
    </w:tbl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 от 28 декабря 2009 г. N 381 "Об основах государственного регулирования торговой деятельности в Российской Федерации" и в соответствии с </w:t>
      </w:r>
      <w:hyperlink r:id="rId7">
        <w:r>
          <w:rPr>
            <w:color w:val="0000FF"/>
          </w:rPr>
          <w:t>постановлением</w:t>
        </w:r>
      </w:hyperlink>
      <w:r>
        <w:t xml:space="preserve"> Администрации Курской области от 22.03.2011 N 103-па "Об органе исполнительной государственной власти Курской области, уполномоченном в области государственного регулирования торговой деятельности в Курской области" приказываю: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4E4294" w:rsidRDefault="004E4294">
      <w:pPr>
        <w:pStyle w:val="ConsPlusNormal"/>
        <w:spacing w:before="220"/>
        <w:ind w:firstLine="540"/>
        <w:jc w:val="both"/>
      </w:pPr>
      <w:hyperlink w:anchor="P40">
        <w:r>
          <w:rPr>
            <w:color w:val="0000FF"/>
          </w:rPr>
          <w:t>Порядок</w:t>
        </w:r>
      </w:hyperlink>
      <w:r>
        <w:t xml:space="preserve"> разработки и утверждения органами местного самоуправления Курской области схем размещения нестационарных торговых объектов;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 xml:space="preserve">форму </w:t>
      </w:r>
      <w:hyperlink w:anchor="P100">
        <w:r>
          <w:rPr>
            <w:color w:val="0000FF"/>
          </w:rPr>
          <w:t>схемы</w:t>
        </w:r>
      </w:hyperlink>
      <w:r>
        <w:t xml:space="preserve"> размещения нестационарных торговых объектов на территории муниципального района, городского округа.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2. Рекомендовать главам муниципальных районов и городских округов Курской области обеспечить: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 xml:space="preserve">разработку и утверждение </w:t>
      </w:r>
      <w:hyperlink w:anchor="P100">
        <w:r>
          <w:rPr>
            <w:color w:val="0000FF"/>
          </w:rPr>
          <w:t>схем</w:t>
        </w:r>
      </w:hyperlink>
      <w:r>
        <w:t xml:space="preserve"> размещения нестационарных торговых объектов на территории муниципального образования в соответствии с порядком, утвержденным настоящим приказом;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ежегодное представление в комитет потребительского рынка, развития малого предпринимательства и лицензирования Курской области утвержденной схемы размещения нестационарных торговых объектов на территории муниципального образования на бумажном и электронном носителях в десятидневный срок после ее утверждения или внесения в нее изменений;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использование схемы размещения нестационарных торговых объектов для достижения нормативов минимальной обеспеченности населения площадью торговых объектов и разработки муниципальных программ развития торговли.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оставляю за собой.</w:t>
      </w: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right"/>
      </w:pPr>
      <w:r>
        <w:t>Председатель комитета</w:t>
      </w:r>
    </w:p>
    <w:p w:rsidR="004E4294" w:rsidRDefault="004E4294">
      <w:pPr>
        <w:pStyle w:val="ConsPlusNormal"/>
        <w:jc w:val="right"/>
      </w:pPr>
      <w:r>
        <w:t>В.С.ПУЧКОВ</w:t>
      </w: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right"/>
        <w:outlineLvl w:val="0"/>
      </w:pPr>
      <w:r>
        <w:t>Утвержден</w:t>
      </w:r>
    </w:p>
    <w:p w:rsidR="004E4294" w:rsidRDefault="004E4294">
      <w:pPr>
        <w:pStyle w:val="ConsPlusNormal"/>
        <w:jc w:val="right"/>
      </w:pPr>
      <w:r>
        <w:t>приказом</w:t>
      </w:r>
    </w:p>
    <w:p w:rsidR="004E4294" w:rsidRDefault="004E4294">
      <w:pPr>
        <w:pStyle w:val="ConsPlusNormal"/>
        <w:jc w:val="right"/>
      </w:pPr>
      <w:r>
        <w:t>комитета потребительского рынка,</w:t>
      </w:r>
    </w:p>
    <w:p w:rsidR="004E4294" w:rsidRDefault="004E4294">
      <w:pPr>
        <w:pStyle w:val="ConsPlusNormal"/>
        <w:jc w:val="right"/>
      </w:pPr>
      <w:r>
        <w:t>развития малого предпринимательства</w:t>
      </w:r>
    </w:p>
    <w:p w:rsidR="004E4294" w:rsidRDefault="004E4294">
      <w:pPr>
        <w:pStyle w:val="ConsPlusNormal"/>
        <w:jc w:val="right"/>
      </w:pPr>
      <w:r>
        <w:t>и лицензирования Курской области</w:t>
      </w:r>
    </w:p>
    <w:p w:rsidR="004E4294" w:rsidRDefault="004E4294">
      <w:pPr>
        <w:pStyle w:val="ConsPlusNormal"/>
        <w:jc w:val="right"/>
      </w:pPr>
      <w:r>
        <w:t>от 23 марта 2011 г. N 32</w:t>
      </w: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Title"/>
        <w:jc w:val="center"/>
      </w:pPr>
      <w:bookmarkStart w:id="0" w:name="P40"/>
      <w:bookmarkEnd w:id="0"/>
      <w:r>
        <w:t>ПОРЯДОК</w:t>
      </w:r>
    </w:p>
    <w:p w:rsidR="004E4294" w:rsidRDefault="004E4294">
      <w:pPr>
        <w:pStyle w:val="ConsPlusTitle"/>
        <w:jc w:val="center"/>
      </w:pPr>
      <w:r>
        <w:t>РАЗРАБОТКИ И УТВЕРЖДЕНИЯ ОРГАНАМИ МЕСТНОГО САМОУПРАВЛЕНИЯ</w:t>
      </w:r>
    </w:p>
    <w:p w:rsidR="004E4294" w:rsidRDefault="004E4294">
      <w:pPr>
        <w:pStyle w:val="ConsPlusTitle"/>
        <w:jc w:val="center"/>
      </w:pPr>
      <w:r>
        <w:t>КУРСКОЙ ОБЛАСТИ СХЕМ РАЗМЕЩЕНИЯ НЕСТАЦИОНАРНЫХ ТОРГОВЫХ</w:t>
      </w:r>
    </w:p>
    <w:p w:rsidR="004E4294" w:rsidRDefault="004E4294">
      <w:pPr>
        <w:pStyle w:val="ConsPlusTitle"/>
        <w:jc w:val="center"/>
      </w:pPr>
      <w:r>
        <w:t>ОБЪЕКТОВ</w:t>
      </w:r>
    </w:p>
    <w:p w:rsidR="004E4294" w:rsidRDefault="004E42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2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потребительского рынка, развития малого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предпринимательства и лицензирования Курской области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от 25.12.2012 N 183)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</w:tr>
    </w:tbl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ind w:firstLine="540"/>
        <w:jc w:val="both"/>
      </w:pPr>
      <w:r>
        <w:t xml:space="preserve">1. Настоящий Порядок разработки и утверждения органами местного самоуправления Курской области схем размещения нестационарных торговых объектов (далее - Порядок) разработан в целях реализации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от 28.12.2009 N 381-ФЗ "Об основах государственного регулирования торговой деятельности в Российской Федерации", обеспечения рационального размещения розничной торговой сети и наиболее полного удовлетворения потребности населения Курской области в услугах торговли и устанавливает процедуру разработки и утверждения органами местного самоуправления Курской области схем размещения нестационарных торговых объектов на земельных участках, в зданиях, строениях, сооружениях, находящихся в муниципальной собственности на территории Курской области.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2. Настоящий Порядок не регулирует размещение нестационарных торговых объектов в стационарном торговом объекте, в ином здании, строении, сооружении или на земельном участке, находящихся в частной собственности. Порядок такого размещения и использования осуществляется собственником перечисленных имущественных объектов в соответствии с действующим законодательством Российской Федерации.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3. Включение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(в федеральной собственности и собственности Курской области), осуществляется в порядке, установленном Правительством Российской Федерации (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сентября 2010 г. N 772 "Об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объектов").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4. Требования, предусмотренные настоящим Порядком, не применяются к отношениям, связанным с размещением нестационарных торговых объектов: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на территориях розничных рынков;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при проведении праздничных, общественно-политических, культурно-массовых и спортивно-массовых мероприятий.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lastRenderedPageBreak/>
        <w:t>5. Под нестационарным торговым объектом понимается торговый объект, представляющий собой временное сооружение или временную конструкцию, не связанную прочно с земельным участком, вне зависимости от присоединения или неприсоединения к сетям инженерно-технического обеспечения, в том числе передвижное сооружение.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К нестационарным торговым объектам относятся: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остановочные комплексы, не относящиеся к капитальным сооружениям;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павильоны;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киоски;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ларьки;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палатки;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летние кафе и площадки;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передвижные средства развозной и разносной торговли (торговые автоматы, тележки, лотки, квасные бочки, изотермические емкости для реализации молока, холодильное оборудование, иные специальные приспособления для реализации товара);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места для сезонной торговли бахчевыми культурами и плодоовощной продукцией;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школьные, елочные и новогодние базары.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6. Размещение нестационарных торговых объектов осуществляется на земельных участках, в зданиях, сооружениях, находящихся в государственной или муниципальной собственности, в соответствии со схемой размещения.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 xml:space="preserve">7. Схема размещения нестационарных торговых объектов разрабатывается на пять лет и утверждается органами местного самоуправления городских округов и муниципальных районов по поселениям, входящим в его состав (далее - муниципальное образование),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объектов, утвержденных Администрацией Курской области (согласно </w:t>
      </w:r>
      <w:hyperlink r:id="rId11">
        <w:r>
          <w:rPr>
            <w:color w:val="0000FF"/>
          </w:rPr>
          <w:t>Правилам</w:t>
        </w:r>
      </w:hyperlink>
      <w:r>
        <w:t xml:space="preserve"> и методике расчета указанных нормативов, утвержденных Постановлением Правительства Российской Федерации от 24 сентября 2010 г. N 754 "Об утверждении Правил установления нормативов минимальной обеспеченности населения площадью торговых объектов") в соответствии с градостроительным, земельным, санитарно-эпидемиологическим, экологическим, противопожарным законодательством и другими требованиями, установленными федеральными законами.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8. Утверждение схемы размещения нестационарных торговых объектов и внесение в нее изменений не может служить основанием для пересмотра мест размещения нестационарных торговых объектов, строительство, реконструкция или эксплуатация которых были начаты до утверждения указанной схемы.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9. Планирование по размещению нестационарных торговых объектов на территории муниципального образования с учетом соблюдения требований о размещении не менее 60 процентов от их общего количества для использования субъектами малого и среднего предпринимательства, осуществляющими торговую деятельность, существующей дислокации нестационарных торговых объектов и обеспечения населения товарами первой необходимости осуществляет орган местного самоуправления (далее - уполномоченный орган местного самоуправления), определенный в соответствии с уставом муниципального образования.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lastRenderedPageBreak/>
        <w:t xml:space="preserve">10. На основании результатов инвентаризации существующих нестационарных торговых объектов и мест их размещения, а также сформированного плана по размещению нестационарных торговых объектов уполномоченный орган местного самоуправления разрабатывает </w:t>
      </w:r>
      <w:hyperlink w:anchor="P100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 по форме, утвержденной приказом комитета потребительского рынка, развития малого предпринимательства и лицензирования Курской области от 23 марта 2011 г. N 32.</w:t>
      </w:r>
    </w:p>
    <w:p w:rsidR="004E4294" w:rsidRDefault="004E4294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комитета потребительского рынка, развития малого предпринимательства и лицензирования Курской области от 25.12.2012 N 183)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11. Порядок проведения инвентаризации и ее результаты утверждаются правовым актом уполномоченного органа местного самоуправления.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12. Схемой размещения нестационарных торговых объектов устанавливаются: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наименование и тип объекта;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место нахождения нестационарного торгового объекта;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группа товаров (непродовольственные товары или продовольственные товары);</w:t>
      </w:r>
    </w:p>
    <w:p w:rsidR="004E4294" w:rsidRDefault="004E4294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приказа</w:t>
        </w:r>
      </w:hyperlink>
      <w:r>
        <w:t xml:space="preserve"> комитета потребительского рынка, развития малого предпринимательства и лицензирования Курской области от 25.12.2012 N 183)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размер торговой площади объекта;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- срок функционирования объекта.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13. В схему размещения нестационарных торговых объектов не чаще одного раза в год могут быть внесены изменения в порядке, установленном для ее разработки и утверждения.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14. Схема размещения нестационарных торговых объектов и вносимые в нее изменения утверждаются правовым актом органа местного самоуправления в соответствии с уставом муниципального образования.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15. Утвержденная схема размещения нестационарных торговых объектов и вносимые в нее изменения подлежат официальному опубликованию в средствах массовой информации в порядке, установленном для официального опубликования муниципальных нормативно-правовых актов, а также размещению на официальном сайте органа местного самоуправления в информационно-телекоммуникационной сети "Интернет".</w:t>
      </w:r>
    </w:p>
    <w:p w:rsidR="004E4294" w:rsidRDefault="004E4294">
      <w:pPr>
        <w:pStyle w:val="ConsPlusNormal"/>
        <w:spacing w:before="220"/>
        <w:ind w:firstLine="540"/>
        <w:jc w:val="both"/>
      </w:pPr>
      <w:r>
        <w:t>16. В десятидневный срок после утверждения схемы размещения нестационарных торговых объектов или внесения в нее изменений уполномоченный орган местного самоуправления представляет в комитет потребительского рынка, развития малого предпринимательства и лицензирования Курской области схему размещения нестационарных торговых объектов на бумажном носителе и в электронном виде.</w:t>
      </w: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right"/>
        <w:outlineLvl w:val="0"/>
      </w:pPr>
      <w:r>
        <w:t>Утверждена</w:t>
      </w:r>
    </w:p>
    <w:p w:rsidR="004E4294" w:rsidRDefault="004E4294">
      <w:pPr>
        <w:pStyle w:val="ConsPlusNormal"/>
        <w:jc w:val="right"/>
      </w:pPr>
      <w:r>
        <w:t>приказом</w:t>
      </w:r>
    </w:p>
    <w:p w:rsidR="004E4294" w:rsidRDefault="004E4294">
      <w:pPr>
        <w:pStyle w:val="ConsPlusNormal"/>
        <w:jc w:val="right"/>
      </w:pPr>
      <w:r>
        <w:t>комитета потребительского рынка,</w:t>
      </w:r>
    </w:p>
    <w:p w:rsidR="004E4294" w:rsidRDefault="004E4294">
      <w:pPr>
        <w:pStyle w:val="ConsPlusNormal"/>
        <w:jc w:val="right"/>
      </w:pPr>
      <w:r>
        <w:t>развития малого предпринимательства</w:t>
      </w:r>
    </w:p>
    <w:p w:rsidR="004E4294" w:rsidRDefault="004E4294">
      <w:pPr>
        <w:pStyle w:val="ConsPlusNormal"/>
        <w:jc w:val="right"/>
      </w:pPr>
      <w:r>
        <w:t>и лицензирования Курской области</w:t>
      </w:r>
    </w:p>
    <w:p w:rsidR="004E4294" w:rsidRDefault="004E4294">
      <w:pPr>
        <w:pStyle w:val="ConsPlusNormal"/>
        <w:jc w:val="right"/>
      </w:pPr>
      <w:r>
        <w:t>от 23 марта 2011 г. N 32</w:t>
      </w:r>
    </w:p>
    <w:p w:rsidR="004E4294" w:rsidRDefault="004E429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E429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потребительского рынка, развития малого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предпринимательства и лицензирования Курской области</w:t>
            </w:r>
          </w:p>
          <w:p w:rsidR="004E4294" w:rsidRDefault="004E4294">
            <w:pPr>
              <w:pStyle w:val="ConsPlusNormal"/>
              <w:jc w:val="center"/>
            </w:pPr>
            <w:r>
              <w:rPr>
                <w:color w:val="392C69"/>
              </w:rPr>
              <w:t>от 25.12.2012 N 183)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94" w:rsidRDefault="004E4294">
            <w:pPr>
              <w:pStyle w:val="ConsPlusNormal"/>
            </w:pPr>
          </w:p>
        </w:tc>
      </w:tr>
    </w:tbl>
    <w:p w:rsidR="004E4294" w:rsidRDefault="004E4294">
      <w:pPr>
        <w:pStyle w:val="ConsPlusNormal"/>
        <w:jc w:val="both"/>
      </w:pPr>
    </w:p>
    <w:p w:rsidR="004E4294" w:rsidRDefault="004E4294">
      <w:pPr>
        <w:pStyle w:val="ConsPlusNonformat"/>
        <w:jc w:val="both"/>
      </w:pPr>
      <w:bookmarkStart w:id="1" w:name="P100"/>
      <w:bookmarkEnd w:id="1"/>
      <w:r>
        <w:t xml:space="preserve">                                   Схема</w:t>
      </w:r>
    </w:p>
    <w:p w:rsidR="004E4294" w:rsidRDefault="004E4294">
      <w:pPr>
        <w:pStyle w:val="ConsPlusNonformat"/>
        <w:jc w:val="both"/>
      </w:pPr>
      <w:r>
        <w:t xml:space="preserve">         размещения нестационарных торговых объектов на территории</w:t>
      </w:r>
    </w:p>
    <w:p w:rsidR="004E4294" w:rsidRDefault="004E4294">
      <w:pPr>
        <w:pStyle w:val="ConsPlusNonformat"/>
        <w:jc w:val="both"/>
      </w:pPr>
      <w:r>
        <w:t xml:space="preserve">                        муниципального образования</w:t>
      </w:r>
    </w:p>
    <w:p w:rsidR="004E4294" w:rsidRDefault="004E4294">
      <w:pPr>
        <w:pStyle w:val="ConsPlusNonformat"/>
        <w:jc w:val="both"/>
      </w:pPr>
      <w:r>
        <w:t>___________________________________________________________________________</w:t>
      </w:r>
    </w:p>
    <w:p w:rsidR="004E4294" w:rsidRDefault="004E4294">
      <w:pPr>
        <w:pStyle w:val="ConsPlusNonformat"/>
        <w:jc w:val="both"/>
      </w:pPr>
      <w:r>
        <w:t xml:space="preserve">                 (наименование муниципального образования)</w:t>
      </w:r>
    </w:p>
    <w:p w:rsidR="004E4294" w:rsidRDefault="004E4294">
      <w:pPr>
        <w:pStyle w:val="ConsPlusNonformat"/>
        <w:jc w:val="both"/>
      </w:pPr>
    </w:p>
    <w:p w:rsidR="004E4294" w:rsidRDefault="004E4294">
      <w:pPr>
        <w:pStyle w:val="ConsPlusNonformat"/>
        <w:jc w:val="both"/>
      </w:pPr>
      <w:r>
        <w:t xml:space="preserve">              по состоянию на ___________________ 20 _____ г.</w:t>
      </w:r>
    </w:p>
    <w:p w:rsidR="004E4294" w:rsidRDefault="004E429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814"/>
        <w:gridCol w:w="1587"/>
        <w:gridCol w:w="1871"/>
        <w:gridCol w:w="1531"/>
        <w:gridCol w:w="1644"/>
      </w:tblGrid>
      <w:tr w:rsidR="004E4294">
        <w:tc>
          <w:tcPr>
            <w:tcW w:w="510" w:type="dxa"/>
          </w:tcPr>
          <w:p w:rsidR="004E4294" w:rsidRDefault="004E429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14" w:type="dxa"/>
          </w:tcPr>
          <w:p w:rsidR="004E4294" w:rsidRDefault="004E4294">
            <w:pPr>
              <w:pStyle w:val="ConsPlusNormal"/>
              <w:jc w:val="center"/>
            </w:pPr>
            <w:r>
              <w:t>Наименование, тип нестационарного торгового объект</w:t>
            </w:r>
          </w:p>
        </w:tc>
        <w:tc>
          <w:tcPr>
            <w:tcW w:w="1587" w:type="dxa"/>
          </w:tcPr>
          <w:p w:rsidR="004E4294" w:rsidRDefault="004E4294">
            <w:pPr>
              <w:pStyle w:val="ConsPlusNormal"/>
              <w:jc w:val="center"/>
            </w:pPr>
            <w:r>
              <w:t>Место нахождения нестационарного торгового объекта</w:t>
            </w:r>
          </w:p>
        </w:tc>
        <w:tc>
          <w:tcPr>
            <w:tcW w:w="1871" w:type="dxa"/>
          </w:tcPr>
          <w:p w:rsidR="004E4294" w:rsidRDefault="004E4294">
            <w:pPr>
              <w:pStyle w:val="ConsPlusNormal"/>
              <w:jc w:val="center"/>
            </w:pPr>
            <w:r>
              <w:t>Группа товаров (непродовольственные товары или продовольственные товары) нестационарного торгового объекта</w:t>
            </w:r>
          </w:p>
        </w:tc>
        <w:tc>
          <w:tcPr>
            <w:tcW w:w="1531" w:type="dxa"/>
          </w:tcPr>
          <w:p w:rsidR="004E4294" w:rsidRDefault="004E4294">
            <w:pPr>
              <w:pStyle w:val="ConsPlusNormal"/>
              <w:jc w:val="center"/>
            </w:pPr>
            <w:r>
              <w:t>Размер торговой площади объекта (кв. м)</w:t>
            </w:r>
          </w:p>
        </w:tc>
        <w:tc>
          <w:tcPr>
            <w:tcW w:w="1644" w:type="dxa"/>
          </w:tcPr>
          <w:p w:rsidR="004E4294" w:rsidRDefault="004E4294">
            <w:pPr>
              <w:pStyle w:val="ConsPlusNormal"/>
              <w:jc w:val="center"/>
            </w:pPr>
            <w:r>
              <w:t>Срок функционирования нестационарного торгового объекта</w:t>
            </w:r>
          </w:p>
        </w:tc>
      </w:tr>
      <w:tr w:rsidR="004E4294">
        <w:tc>
          <w:tcPr>
            <w:tcW w:w="510" w:type="dxa"/>
            <w:vAlign w:val="center"/>
          </w:tcPr>
          <w:p w:rsidR="004E4294" w:rsidRDefault="004E429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vAlign w:val="center"/>
          </w:tcPr>
          <w:p w:rsidR="004E4294" w:rsidRDefault="004E429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vAlign w:val="center"/>
          </w:tcPr>
          <w:p w:rsidR="004E4294" w:rsidRDefault="004E429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vAlign w:val="center"/>
          </w:tcPr>
          <w:p w:rsidR="004E4294" w:rsidRDefault="004E429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vAlign w:val="center"/>
          </w:tcPr>
          <w:p w:rsidR="004E4294" w:rsidRDefault="004E429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  <w:vAlign w:val="center"/>
          </w:tcPr>
          <w:p w:rsidR="004E4294" w:rsidRDefault="004E4294">
            <w:pPr>
              <w:pStyle w:val="ConsPlusNormal"/>
              <w:jc w:val="center"/>
            </w:pPr>
            <w:r>
              <w:t>6</w:t>
            </w:r>
          </w:p>
        </w:tc>
      </w:tr>
      <w:tr w:rsidR="004E4294">
        <w:tc>
          <w:tcPr>
            <w:tcW w:w="510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814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587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871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531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644" w:type="dxa"/>
          </w:tcPr>
          <w:p w:rsidR="004E4294" w:rsidRDefault="004E4294">
            <w:pPr>
              <w:pStyle w:val="ConsPlusNormal"/>
            </w:pPr>
          </w:p>
        </w:tc>
      </w:tr>
      <w:tr w:rsidR="004E4294">
        <w:tc>
          <w:tcPr>
            <w:tcW w:w="510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814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587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871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531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644" w:type="dxa"/>
          </w:tcPr>
          <w:p w:rsidR="004E4294" w:rsidRDefault="004E4294">
            <w:pPr>
              <w:pStyle w:val="ConsPlusNormal"/>
            </w:pPr>
          </w:p>
        </w:tc>
      </w:tr>
      <w:tr w:rsidR="004E4294">
        <w:tc>
          <w:tcPr>
            <w:tcW w:w="510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814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587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871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531" w:type="dxa"/>
          </w:tcPr>
          <w:p w:rsidR="004E4294" w:rsidRDefault="004E4294">
            <w:pPr>
              <w:pStyle w:val="ConsPlusNormal"/>
            </w:pPr>
          </w:p>
        </w:tc>
        <w:tc>
          <w:tcPr>
            <w:tcW w:w="1644" w:type="dxa"/>
          </w:tcPr>
          <w:p w:rsidR="004E4294" w:rsidRDefault="004E4294">
            <w:pPr>
              <w:pStyle w:val="ConsPlusNormal"/>
            </w:pPr>
          </w:p>
        </w:tc>
      </w:tr>
    </w:tbl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jc w:val="both"/>
      </w:pPr>
    </w:p>
    <w:p w:rsidR="004E4294" w:rsidRDefault="004E42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4294" w:rsidRDefault="004E4294"/>
    <w:sectPr w:rsidR="004E4294" w:rsidSect="00651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294"/>
    <w:rsid w:val="004E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E6099-AF9A-4E04-896A-5B18770F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4E42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4E4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4E42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7&amp;n=114230&amp;dst=100005" TargetMode="External"/><Relationship Id="rId13" Type="http://schemas.openxmlformats.org/officeDocument/2006/relationships/hyperlink" Target="https://login.consultant.ru/link/?req=doc&amp;base=RLAW417&amp;n=114230&amp;dst=1000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417&amp;n=107545" TargetMode="External"/><Relationship Id="rId12" Type="http://schemas.openxmlformats.org/officeDocument/2006/relationships/hyperlink" Target="https://login.consultant.ru/link/?req=doc&amp;base=RLAW417&amp;n=114230&amp;dst=10000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38708" TargetMode="External"/><Relationship Id="rId11" Type="http://schemas.openxmlformats.org/officeDocument/2006/relationships/hyperlink" Target="https://login.consultant.ru/link/?req=doc&amp;base=RZR&amp;n=105276&amp;dst=100008" TargetMode="External"/><Relationship Id="rId5" Type="http://schemas.openxmlformats.org/officeDocument/2006/relationships/hyperlink" Target="https://login.consultant.ru/link/?req=doc&amp;base=RLAW417&amp;n=114230&amp;dst=10000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4259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38708" TargetMode="External"/><Relationship Id="rId14" Type="http://schemas.openxmlformats.org/officeDocument/2006/relationships/hyperlink" Target="https://login.consultant.ru/link/?req=doc&amp;base=RLAW417&amp;n=114230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1755</Words>
  <Characters>10005</Characters>
  <Application>Microsoft Office Word</Application>
  <DocSecurity>0</DocSecurity>
  <Lines>83</Lines>
  <Paragraphs>23</Paragraphs>
  <ScaleCrop>false</ScaleCrop>
  <Company/>
  <LinksUpToDate>false</LinksUpToDate>
  <CharactersWithSpaces>11737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</dc:creator>
  <cp:keywords/>
  <dc:description/>
  <cp:lastModifiedBy>Павлова</cp:lastModifiedBy>
  <cp:revision>1</cp:revision>
  <dcterms:created xsi:type="dcterms:W3CDTF">2026-08-11T08:58:00Z</dcterms:created>
  <dcterms:modified xsi:type="dcterms:W3CDTF">2026-08-11T08:59:00Z</dcterms:modified>
</cp:coreProperties>
</file>