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3F2E1172" w:rsidR="00A904D0" w:rsidRDefault="00566275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E8692B" wp14:editId="15176FF0">
            <wp:extent cx="4352925" cy="30480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03793529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 w:rsidR="00566275" w:rsidRPr="00566275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Курской области от 06.12.2021 № 1290-па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Курской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0AB8C621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14361F">
        <w:rPr>
          <w:rFonts w:ascii="Times New Roman" w:hAnsi="Times New Roman" w:cs="Times New Roman"/>
          <w:sz w:val="26"/>
          <w:szCs w:val="26"/>
        </w:rPr>
        <w:t>отсутствие возможности осуществления регионального государственного контроля (надзора) в области долевого строительства.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3B26FC58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14361F">
        <w:rPr>
          <w:rFonts w:ascii="Times New Roman" w:hAnsi="Times New Roman" w:cs="Times New Roman"/>
          <w:i/>
          <w:iCs/>
          <w:sz w:val="28"/>
          <w:szCs w:val="28"/>
        </w:rPr>
        <w:t>18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31</cp:revision>
  <cp:lastPrinted>2025-05-27T09:20:00Z</cp:lastPrinted>
  <dcterms:created xsi:type="dcterms:W3CDTF">2025-05-27T09:18:00Z</dcterms:created>
  <dcterms:modified xsi:type="dcterms:W3CDTF">2026-03-11T15:13:00Z</dcterms:modified>
</cp:coreProperties>
</file>