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BA3" w:rsidRPr="00641BA3" w:rsidRDefault="00641BA3" w:rsidP="00641BA3">
      <w:pPr>
        <w:jc w:val="center"/>
        <w:rPr>
          <w:rFonts w:cs="Times New Roman"/>
          <w:b/>
          <w:sz w:val="28"/>
          <w:szCs w:val="28"/>
        </w:rPr>
      </w:pPr>
      <w:r w:rsidRPr="00641BA3">
        <w:rPr>
          <w:rFonts w:cs="Times New Roman"/>
          <w:b/>
          <w:sz w:val="28"/>
          <w:szCs w:val="28"/>
        </w:rPr>
        <w:t>ПОЯСНИТЕЛЬНАЯ ЗАПИСКА</w:t>
      </w:r>
    </w:p>
    <w:p w:rsidR="00641BA3" w:rsidRPr="00641BA3" w:rsidRDefault="00641BA3" w:rsidP="00641BA3">
      <w:pPr>
        <w:pStyle w:val="ConsPlusTitle"/>
        <w:ind w:firstLine="708"/>
        <w:jc w:val="center"/>
        <w:rPr>
          <w:sz w:val="28"/>
          <w:szCs w:val="28"/>
        </w:rPr>
      </w:pPr>
      <w:r w:rsidRPr="00641BA3">
        <w:rPr>
          <w:sz w:val="28"/>
          <w:szCs w:val="28"/>
        </w:rPr>
        <w:t xml:space="preserve">к проекту закона Курской области «Об отдельных вопросах территориальной организации местного самоуправления в </w:t>
      </w:r>
      <w:r>
        <w:rPr>
          <w:sz w:val="28"/>
          <w:szCs w:val="28"/>
        </w:rPr>
        <w:br/>
      </w:r>
      <w:r w:rsidRPr="00641BA3">
        <w:rPr>
          <w:sz w:val="28"/>
          <w:szCs w:val="28"/>
        </w:rPr>
        <w:t>Курской области»</w:t>
      </w:r>
    </w:p>
    <w:p w:rsidR="00641BA3" w:rsidRPr="0056717F" w:rsidRDefault="00641BA3" w:rsidP="0056717F">
      <w:pPr>
        <w:jc w:val="both"/>
        <w:rPr>
          <w:rFonts w:cs="Times New Roman"/>
          <w:sz w:val="28"/>
          <w:szCs w:val="28"/>
        </w:rPr>
      </w:pPr>
    </w:p>
    <w:p w:rsidR="007B1AC5" w:rsidRPr="0056717F" w:rsidRDefault="00E9418E" w:rsidP="0056717F">
      <w:pPr>
        <w:pStyle w:val="ConsPlusTitle"/>
        <w:ind w:firstLine="708"/>
        <w:jc w:val="both"/>
        <w:rPr>
          <w:b w:val="0"/>
          <w:sz w:val="28"/>
          <w:szCs w:val="28"/>
        </w:rPr>
      </w:pPr>
      <w:r w:rsidRPr="0056717F">
        <w:rPr>
          <w:b w:val="0"/>
          <w:sz w:val="28"/>
          <w:szCs w:val="28"/>
        </w:rPr>
        <w:t>П</w:t>
      </w:r>
      <w:r w:rsidR="00641BA3" w:rsidRPr="0056717F">
        <w:rPr>
          <w:b w:val="0"/>
          <w:sz w:val="28"/>
          <w:szCs w:val="28"/>
        </w:rPr>
        <w:t>роект закона Курской области</w:t>
      </w:r>
      <w:r w:rsidR="0056717F" w:rsidRPr="0056717F">
        <w:rPr>
          <w:b w:val="0"/>
          <w:sz w:val="28"/>
          <w:szCs w:val="28"/>
        </w:rPr>
        <w:t xml:space="preserve"> </w:t>
      </w:r>
      <w:r w:rsidR="0056717F" w:rsidRPr="0056717F">
        <w:rPr>
          <w:b w:val="0"/>
          <w:sz w:val="28"/>
          <w:szCs w:val="28"/>
        </w:rPr>
        <w:t xml:space="preserve">«Об отдельных вопросах территориальной организации местного самоуправления в </w:t>
      </w:r>
      <w:r w:rsidR="0056717F" w:rsidRPr="0056717F">
        <w:rPr>
          <w:b w:val="0"/>
          <w:sz w:val="28"/>
          <w:szCs w:val="28"/>
        </w:rPr>
        <w:br/>
        <w:t xml:space="preserve">Курской </w:t>
      </w:r>
      <w:r w:rsidR="0056717F" w:rsidRPr="0056717F">
        <w:rPr>
          <w:b w:val="0"/>
          <w:sz w:val="28"/>
          <w:szCs w:val="28"/>
        </w:rPr>
        <w:t>области» подготовлен</w:t>
      </w:r>
      <w:r w:rsidR="00641BA3" w:rsidRPr="0056717F">
        <w:rPr>
          <w:b w:val="0"/>
          <w:sz w:val="28"/>
          <w:szCs w:val="28"/>
        </w:rPr>
        <w:t xml:space="preserve"> в целях </w:t>
      </w:r>
      <w:r w:rsidR="007B1AC5" w:rsidRPr="0056717F">
        <w:rPr>
          <w:b w:val="0"/>
          <w:sz w:val="28"/>
          <w:szCs w:val="28"/>
        </w:rPr>
        <w:t xml:space="preserve">приведения областного законодательства в соответствие с </w:t>
      </w:r>
      <w:r w:rsidR="004D785F" w:rsidRPr="0056717F">
        <w:rPr>
          <w:b w:val="0"/>
          <w:sz w:val="28"/>
          <w:szCs w:val="28"/>
        </w:rPr>
        <w:t>требованиями Федерального</w:t>
      </w:r>
      <w:r w:rsidR="007B1AC5" w:rsidRPr="0056717F">
        <w:rPr>
          <w:b w:val="0"/>
          <w:sz w:val="28"/>
          <w:szCs w:val="28"/>
        </w:rPr>
        <w:t xml:space="preserve"> закона </w:t>
      </w:r>
      <w:r w:rsidR="0056717F">
        <w:rPr>
          <w:b w:val="0"/>
          <w:sz w:val="28"/>
          <w:szCs w:val="28"/>
        </w:rPr>
        <w:br/>
      </w:r>
      <w:bookmarkStart w:id="0" w:name="_GoBack"/>
      <w:bookmarkEnd w:id="0"/>
      <w:r w:rsidR="007B1AC5" w:rsidRPr="0056717F">
        <w:rPr>
          <w:b w:val="0"/>
          <w:sz w:val="28"/>
          <w:szCs w:val="28"/>
        </w:rPr>
        <w:t xml:space="preserve">от 20 марта 2025 года № 33-ФЗ «Об общих принципах организации местного самоуправления в единой системе публичной власти», которым предложена </w:t>
      </w:r>
      <w:r w:rsidR="00641BA3" w:rsidRPr="0056717F">
        <w:rPr>
          <w:b w:val="0"/>
          <w:sz w:val="28"/>
          <w:szCs w:val="28"/>
        </w:rPr>
        <w:t xml:space="preserve">новая </w:t>
      </w:r>
      <w:r w:rsidR="007B1AC5" w:rsidRPr="0056717F">
        <w:rPr>
          <w:b w:val="0"/>
          <w:sz w:val="28"/>
          <w:szCs w:val="28"/>
        </w:rPr>
        <w:t>система территориальной организации местного самоуправления в Курской области.</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xml:space="preserve">Предлагается принятие базового областного закона, аккумулирующего в себе реализацию всех полномочий Курской области по вопросу территориальной организации местного самоуправления. </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Основные положения законопроекта:</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местное самоуправление на всей территории Курской области осуществляется в городских и муниципальных округах;</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- 5 городских округов (Железногорск, Курчатов, Курск, Льгов, Щигры) сохраняют свой статус и границы;</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образуются 28 муниципальных округов в границах, совпадающих с границами муниципальных районов, которые одновременно упраздняются;</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выборы в представительные органы вновь образованных муниципальных округов первого созыва проводятся по одномандатным и (или) многомандатным округам</w:t>
      </w:r>
      <w:r w:rsidR="003246CF" w:rsidRPr="00641BA3">
        <w:rPr>
          <w:rFonts w:cs="Times New Roman"/>
          <w:sz w:val="28"/>
          <w:szCs w:val="28"/>
        </w:rPr>
        <w:t>.</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xml:space="preserve">При этом согласно требованиям </w:t>
      </w:r>
      <w:r w:rsidR="00B60201" w:rsidRPr="00641BA3">
        <w:rPr>
          <w:rFonts w:cs="Times New Roman"/>
          <w:sz w:val="28"/>
          <w:szCs w:val="28"/>
        </w:rPr>
        <w:t xml:space="preserve">Федерального закона от </w:t>
      </w:r>
      <w:r w:rsidR="00E9418E">
        <w:rPr>
          <w:rFonts w:cs="Times New Roman"/>
          <w:sz w:val="28"/>
          <w:szCs w:val="28"/>
        </w:rPr>
        <w:br/>
      </w:r>
      <w:r w:rsidR="00B60201" w:rsidRPr="00641BA3">
        <w:rPr>
          <w:rFonts w:cs="Times New Roman"/>
          <w:sz w:val="28"/>
          <w:szCs w:val="28"/>
        </w:rPr>
        <w:t>20 марта 2025 года № 33-ФЗ «Об общих принципах организации местного самоуправления в единой системе публичной власти»</w:t>
      </w:r>
      <w:r w:rsidRPr="00641BA3">
        <w:rPr>
          <w:rFonts w:cs="Times New Roman"/>
          <w:sz w:val="28"/>
          <w:szCs w:val="28"/>
        </w:rPr>
        <w:t xml:space="preserve"> численность депутатов представительных органов муниципальных округов первого созыва сохраняется на уровне численности депутатов действующих в настоящее время представительных органов муниципальных р</w:t>
      </w:r>
      <w:r w:rsidR="00B60201">
        <w:rPr>
          <w:rFonts w:cs="Times New Roman"/>
          <w:sz w:val="28"/>
          <w:szCs w:val="28"/>
        </w:rPr>
        <w:t>айонов.</w:t>
      </w:r>
    </w:p>
    <w:p w:rsidR="007B1AC5" w:rsidRPr="00B60201" w:rsidRDefault="00B60201" w:rsidP="007B1AC5">
      <w:pPr>
        <w:spacing w:line="20" w:lineRule="atLeast"/>
        <w:ind w:firstLine="709"/>
        <w:contextualSpacing/>
        <w:jc w:val="both"/>
        <w:rPr>
          <w:rFonts w:cs="Times New Roman"/>
          <w:sz w:val="28"/>
          <w:szCs w:val="28"/>
        </w:rPr>
      </w:pPr>
      <w:r w:rsidRPr="00B60201">
        <w:rPr>
          <w:rFonts w:cs="Times New Roman"/>
          <w:sz w:val="28"/>
          <w:szCs w:val="28"/>
        </w:rPr>
        <w:t>Г</w:t>
      </w:r>
      <w:r w:rsidR="007B1AC5" w:rsidRPr="00B60201">
        <w:rPr>
          <w:rFonts w:cs="Times New Roman"/>
          <w:sz w:val="28"/>
          <w:szCs w:val="28"/>
        </w:rPr>
        <w:t>лавы муниципальных и городских округов возглавляют местную администрацию, избираются представительным органом муниципального образования из числа кандидатов, представленных конкурсной комиссией по результатам конкурса, за исключением должности Главы города Курска, кандидатов на которую представляет Губернатор Курской области</w:t>
      </w:r>
      <w:r w:rsidRPr="00B60201">
        <w:rPr>
          <w:rFonts w:cs="Times New Roman"/>
          <w:sz w:val="28"/>
          <w:szCs w:val="28"/>
        </w:rPr>
        <w:t>.</w:t>
      </w:r>
      <w:r w:rsidR="007B1AC5" w:rsidRPr="00B60201">
        <w:rPr>
          <w:rFonts w:cs="Times New Roman"/>
          <w:sz w:val="28"/>
          <w:szCs w:val="28"/>
        </w:rPr>
        <w:t xml:space="preserve"> </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Предусмотрены следующие переходные положения:</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xml:space="preserve">- до формирования органов местного самоуправления муниципальных округов полномочия по решению вопросов непосредственного обеспечения жизнедеятельности населения (вопросов местного значения) муниципальных округов на соответствующих территориях осуществляют </w:t>
      </w:r>
      <w:r w:rsidRPr="00641BA3">
        <w:rPr>
          <w:rFonts w:cs="Times New Roman"/>
          <w:sz w:val="28"/>
          <w:szCs w:val="28"/>
        </w:rPr>
        <w:lastRenderedPageBreak/>
        <w:t>органы местного самоуправления муниципальных районов;</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ранее существовавшие муниципальные образования (поселения и муниципальные районы) утрачивают статус по истечению срока полномочий их представительных органов;</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срок полномочий глав поселений и муниципальных районов продлевается до истечения срока полномочий представительного органа муниципального района, но не более чем на два года;</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утрата поселением статуса муниципального образования до формирования органов местного самоуправления муниципального округа влечет осуществление местного самоуправления на его территории органами муниципального района;</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xml:space="preserve">- утрата поселением статуса муниципального образования после формирования органов местного самоуправления муниципального округа влечет осуществление на его территории полномочий по решению вопросов непосредственного обеспечения жизнедеятельности населения (вопросов местного значения) органами местного самоуправления соответствующего муниципального округа; </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со дня формирования администрации муниципального округа, контрольно-счетного органа муниципального округа прекращаются полномочия соответствующих органов муниципальных районов;</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предусматривается формировани</w:t>
      </w:r>
      <w:r w:rsidR="00E9418E">
        <w:rPr>
          <w:rFonts w:cs="Times New Roman"/>
          <w:sz w:val="28"/>
          <w:szCs w:val="28"/>
        </w:rPr>
        <w:t>е</w:t>
      </w:r>
      <w:r w:rsidRPr="00641BA3">
        <w:rPr>
          <w:rFonts w:cs="Times New Roman"/>
          <w:sz w:val="28"/>
          <w:szCs w:val="28"/>
        </w:rPr>
        <w:t xml:space="preserve"> территориальных органов местной администрации с критерием пешеходной доступности до административного центра муниципального образования или до территориальных органов местной администрации и обратно в течение рабочего дня для жителей всех населенных пунктов, входящих в состав муниципального округа.</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При назначении лица, замещавшего должность главы поселения, на должность руководителя территориального органа местной администрации муниципального округа не учитываются квалификационные требования к уровню профессионального образования, устанавливаемые в соответствии с Федеральным законом от 2 марта 2007 года № 25-ФЗ «О муниципальной службе в Российской Федерации».</w:t>
      </w:r>
    </w:p>
    <w:p w:rsidR="007B1AC5" w:rsidRPr="00641BA3" w:rsidRDefault="007B1AC5" w:rsidP="007B1AC5">
      <w:pPr>
        <w:spacing w:line="20" w:lineRule="atLeast"/>
        <w:ind w:firstLine="709"/>
        <w:contextualSpacing/>
        <w:jc w:val="both"/>
        <w:rPr>
          <w:rFonts w:cs="Times New Roman"/>
          <w:sz w:val="28"/>
          <w:szCs w:val="28"/>
        </w:rPr>
      </w:pPr>
      <w:r w:rsidRPr="00641BA3">
        <w:rPr>
          <w:rFonts w:cs="Times New Roman"/>
          <w:sz w:val="28"/>
          <w:szCs w:val="28"/>
        </w:rPr>
        <w:t>- формирование органов местного самоуправления Курской области осуществляется не позднее 20 сентября 2030 года с учетом истечения сроков полномочий представительных органов муниципальных образований Курской области либо в связи с досрочным прекращением полномочий представительных органов муниципальных образований Курской области.</w:t>
      </w:r>
    </w:p>
    <w:p w:rsidR="00A60D82" w:rsidRPr="00641BA3" w:rsidRDefault="00A60D82" w:rsidP="00A60D82">
      <w:pPr>
        <w:spacing w:line="20" w:lineRule="atLeast"/>
        <w:contextualSpacing/>
        <w:jc w:val="both"/>
        <w:rPr>
          <w:rFonts w:cs="Times New Roman"/>
          <w:sz w:val="28"/>
          <w:szCs w:val="28"/>
        </w:rPr>
      </w:pPr>
      <w:r w:rsidRPr="00641BA3">
        <w:rPr>
          <w:rFonts w:cs="Times New Roman"/>
          <w:sz w:val="28"/>
          <w:szCs w:val="28"/>
        </w:rPr>
        <w:tab/>
        <w:t>Переход на одноуровневую систему организации местного самоуправления будет проходить постепенно. Ключевая задача</w:t>
      </w:r>
      <w:r w:rsidR="008F6237">
        <w:rPr>
          <w:rFonts w:cs="Times New Roman"/>
          <w:sz w:val="28"/>
          <w:szCs w:val="28"/>
        </w:rPr>
        <w:t xml:space="preserve"> </w:t>
      </w:r>
      <w:r w:rsidRPr="00641BA3">
        <w:rPr>
          <w:rFonts w:cs="Times New Roman"/>
          <w:sz w:val="28"/>
          <w:szCs w:val="28"/>
        </w:rPr>
        <w:t>- повысить уровень муниципального управления</w:t>
      </w:r>
      <w:r w:rsidR="003353EC" w:rsidRPr="00641BA3">
        <w:rPr>
          <w:rFonts w:cs="Times New Roman"/>
          <w:sz w:val="28"/>
          <w:szCs w:val="28"/>
        </w:rPr>
        <w:t xml:space="preserve">, улучшить качество жизни людей. </w:t>
      </w:r>
    </w:p>
    <w:p w:rsidR="003353EC" w:rsidRPr="00641BA3" w:rsidRDefault="008F6237" w:rsidP="009605E4">
      <w:pPr>
        <w:spacing w:line="20" w:lineRule="atLeast"/>
        <w:ind w:firstLine="708"/>
        <w:contextualSpacing/>
        <w:jc w:val="both"/>
        <w:rPr>
          <w:rFonts w:cs="Times New Roman"/>
          <w:sz w:val="28"/>
          <w:szCs w:val="28"/>
        </w:rPr>
      </w:pPr>
      <w:r>
        <w:rPr>
          <w:rFonts w:cs="Times New Roman"/>
          <w:sz w:val="28"/>
          <w:szCs w:val="28"/>
        </w:rPr>
        <w:t>Проект з</w:t>
      </w:r>
      <w:r w:rsidR="003353EC" w:rsidRPr="00641BA3">
        <w:rPr>
          <w:rFonts w:cs="Times New Roman"/>
          <w:sz w:val="28"/>
          <w:szCs w:val="28"/>
        </w:rPr>
        <w:t>акон</w:t>
      </w:r>
      <w:r>
        <w:rPr>
          <w:rFonts w:cs="Times New Roman"/>
          <w:sz w:val="28"/>
          <w:szCs w:val="28"/>
        </w:rPr>
        <w:t>а</w:t>
      </w:r>
      <w:r w:rsidR="003353EC" w:rsidRPr="00641BA3">
        <w:rPr>
          <w:rFonts w:cs="Times New Roman"/>
          <w:sz w:val="28"/>
          <w:szCs w:val="28"/>
        </w:rPr>
        <w:t xml:space="preserve"> касается только организации местного самоуправления. Меры социальной поддержки останутся прежними - все льготы, гарантии, </w:t>
      </w:r>
      <w:r w:rsidR="003353EC" w:rsidRPr="00641BA3">
        <w:rPr>
          <w:rFonts w:cs="Times New Roman"/>
          <w:sz w:val="28"/>
          <w:szCs w:val="28"/>
        </w:rPr>
        <w:lastRenderedPageBreak/>
        <w:t>доплаты к заработной плате сохранятся. Поселения, которые войдут в муниципальный округ, не поменяют свой статус.</w:t>
      </w:r>
    </w:p>
    <w:p w:rsidR="000D26C9" w:rsidRPr="00641BA3" w:rsidRDefault="003353EC" w:rsidP="009605E4">
      <w:pPr>
        <w:spacing w:line="20" w:lineRule="atLeast"/>
        <w:ind w:firstLine="708"/>
        <w:contextualSpacing/>
        <w:jc w:val="both"/>
        <w:rPr>
          <w:rFonts w:cs="Times New Roman"/>
          <w:sz w:val="28"/>
          <w:szCs w:val="28"/>
        </w:rPr>
      </w:pPr>
      <w:r w:rsidRPr="00641BA3">
        <w:rPr>
          <w:rFonts w:cs="Times New Roman"/>
          <w:sz w:val="28"/>
          <w:szCs w:val="28"/>
        </w:rPr>
        <w:t xml:space="preserve">В соответствии с данным законопроектом местное самоуправление на территории Курской области будет осуществляться в 33 муниципальных </w:t>
      </w:r>
      <w:r w:rsidR="000D26C9" w:rsidRPr="00641BA3">
        <w:rPr>
          <w:rFonts w:cs="Times New Roman"/>
          <w:sz w:val="28"/>
          <w:szCs w:val="28"/>
        </w:rPr>
        <w:t>образованиях, в том числе 5 городских и 28 муниципальных округах, вместо сегодняшних 347 муниципалитетов.</w:t>
      </w:r>
    </w:p>
    <w:p w:rsidR="003353EC" w:rsidRPr="00641BA3" w:rsidRDefault="000D26C9" w:rsidP="00B60201">
      <w:pPr>
        <w:jc w:val="both"/>
        <w:rPr>
          <w:rFonts w:cs="Times New Roman"/>
          <w:sz w:val="28"/>
          <w:szCs w:val="28"/>
        </w:rPr>
      </w:pPr>
      <w:r w:rsidRPr="00641BA3">
        <w:rPr>
          <w:rFonts w:cs="Times New Roman"/>
          <w:sz w:val="28"/>
          <w:szCs w:val="28"/>
        </w:rPr>
        <w:tab/>
      </w:r>
    </w:p>
    <w:sectPr w:rsidR="003353EC" w:rsidRPr="00641BA3" w:rsidSect="00B60201">
      <w:headerReference w:type="default" r:id="rId7"/>
      <w:pgSz w:w="11906" w:h="16838" w:code="9"/>
      <w:pgMar w:top="1418" w:right="1418" w:bottom="170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B20" w:rsidRDefault="00C01B20" w:rsidP="00B60201">
      <w:r>
        <w:separator/>
      </w:r>
    </w:p>
  </w:endnote>
  <w:endnote w:type="continuationSeparator" w:id="0">
    <w:p w:rsidR="00C01B20" w:rsidRDefault="00C01B20" w:rsidP="00B6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B20" w:rsidRDefault="00C01B20" w:rsidP="00B60201">
      <w:r>
        <w:separator/>
      </w:r>
    </w:p>
  </w:footnote>
  <w:footnote w:type="continuationSeparator" w:id="0">
    <w:p w:rsidR="00C01B20" w:rsidRDefault="00C01B20" w:rsidP="00B602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5157283"/>
      <w:docPartObj>
        <w:docPartGallery w:val="Page Numbers (Top of Page)"/>
        <w:docPartUnique/>
      </w:docPartObj>
    </w:sdtPr>
    <w:sdtEndPr/>
    <w:sdtContent>
      <w:p w:rsidR="00B60201" w:rsidRDefault="00B60201">
        <w:pPr>
          <w:pStyle w:val="a5"/>
          <w:jc w:val="center"/>
        </w:pPr>
        <w:r>
          <w:fldChar w:fldCharType="begin"/>
        </w:r>
        <w:r>
          <w:instrText>PAGE   \* MERGEFORMAT</w:instrText>
        </w:r>
        <w:r>
          <w:fldChar w:fldCharType="separate"/>
        </w:r>
        <w:r w:rsidR="0056717F">
          <w:rPr>
            <w:noProof/>
          </w:rPr>
          <w:t>2</w:t>
        </w:r>
        <w:r>
          <w:fldChar w:fldCharType="end"/>
        </w:r>
      </w:p>
    </w:sdtContent>
  </w:sdt>
  <w:p w:rsidR="00B60201" w:rsidRDefault="00B60201">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EE70C7"/>
    <w:multiLevelType w:val="multilevel"/>
    <w:tmpl w:val="8D0EF0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A03"/>
    <w:rsid w:val="00044408"/>
    <w:rsid w:val="000A71CE"/>
    <w:rsid w:val="000D26C9"/>
    <w:rsid w:val="00121A65"/>
    <w:rsid w:val="00141C8B"/>
    <w:rsid w:val="001811A3"/>
    <w:rsid w:val="001C1AA6"/>
    <w:rsid w:val="00215BC3"/>
    <w:rsid w:val="00243F0B"/>
    <w:rsid w:val="002945A3"/>
    <w:rsid w:val="002B0452"/>
    <w:rsid w:val="002B426A"/>
    <w:rsid w:val="002F009D"/>
    <w:rsid w:val="00306006"/>
    <w:rsid w:val="003246CF"/>
    <w:rsid w:val="00324CDE"/>
    <w:rsid w:val="003353EC"/>
    <w:rsid w:val="00337346"/>
    <w:rsid w:val="00372296"/>
    <w:rsid w:val="003760D3"/>
    <w:rsid w:val="0039159D"/>
    <w:rsid w:val="003A4BCE"/>
    <w:rsid w:val="003A7E8A"/>
    <w:rsid w:val="003C7B43"/>
    <w:rsid w:val="003E2A1B"/>
    <w:rsid w:val="00454A03"/>
    <w:rsid w:val="00492581"/>
    <w:rsid w:val="004955F7"/>
    <w:rsid w:val="004A613D"/>
    <w:rsid w:val="004D785F"/>
    <w:rsid w:val="004E03C9"/>
    <w:rsid w:val="004F2E83"/>
    <w:rsid w:val="004F479B"/>
    <w:rsid w:val="00527D0B"/>
    <w:rsid w:val="00563723"/>
    <w:rsid w:val="0056717F"/>
    <w:rsid w:val="005A0F31"/>
    <w:rsid w:val="005C530A"/>
    <w:rsid w:val="005D6173"/>
    <w:rsid w:val="005E2D39"/>
    <w:rsid w:val="00626366"/>
    <w:rsid w:val="00626925"/>
    <w:rsid w:val="00626BC1"/>
    <w:rsid w:val="00641BA3"/>
    <w:rsid w:val="0067067E"/>
    <w:rsid w:val="006B40D9"/>
    <w:rsid w:val="00764F0D"/>
    <w:rsid w:val="007909AB"/>
    <w:rsid w:val="007A2574"/>
    <w:rsid w:val="007B1AC5"/>
    <w:rsid w:val="007E4373"/>
    <w:rsid w:val="007F4CBD"/>
    <w:rsid w:val="00887B40"/>
    <w:rsid w:val="008D6741"/>
    <w:rsid w:val="008E0C10"/>
    <w:rsid w:val="008F6237"/>
    <w:rsid w:val="00953348"/>
    <w:rsid w:val="009605E4"/>
    <w:rsid w:val="009636F8"/>
    <w:rsid w:val="009A2F2C"/>
    <w:rsid w:val="00A05EE6"/>
    <w:rsid w:val="00A17208"/>
    <w:rsid w:val="00A471D7"/>
    <w:rsid w:val="00A514FD"/>
    <w:rsid w:val="00A60D82"/>
    <w:rsid w:val="00A83FDA"/>
    <w:rsid w:val="00AE3CE7"/>
    <w:rsid w:val="00AF085E"/>
    <w:rsid w:val="00B60201"/>
    <w:rsid w:val="00B74958"/>
    <w:rsid w:val="00B94021"/>
    <w:rsid w:val="00BF56AF"/>
    <w:rsid w:val="00BF5773"/>
    <w:rsid w:val="00BF7D7C"/>
    <w:rsid w:val="00C01B20"/>
    <w:rsid w:val="00C3092F"/>
    <w:rsid w:val="00C317E5"/>
    <w:rsid w:val="00C6112E"/>
    <w:rsid w:val="00CA61E0"/>
    <w:rsid w:val="00CE5173"/>
    <w:rsid w:val="00CF50F0"/>
    <w:rsid w:val="00CF620F"/>
    <w:rsid w:val="00D06796"/>
    <w:rsid w:val="00D40C76"/>
    <w:rsid w:val="00DB76E4"/>
    <w:rsid w:val="00DD2325"/>
    <w:rsid w:val="00E65573"/>
    <w:rsid w:val="00E8489A"/>
    <w:rsid w:val="00E9418E"/>
    <w:rsid w:val="00EA28B5"/>
    <w:rsid w:val="00EA2FB0"/>
    <w:rsid w:val="00EB1CCE"/>
    <w:rsid w:val="00ED78B4"/>
    <w:rsid w:val="00EE1F6E"/>
    <w:rsid w:val="00F06345"/>
    <w:rsid w:val="00F140B3"/>
    <w:rsid w:val="00F5702F"/>
    <w:rsid w:val="00F605F5"/>
    <w:rsid w:val="00F822BC"/>
    <w:rsid w:val="00FA221F"/>
    <w:rsid w:val="00FB4158"/>
    <w:rsid w:val="00FE3FD7"/>
    <w:rsid w:val="00FF5859"/>
    <w:rsid w:val="00FF6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D6C4FC-9755-46CC-86CB-CAE218CE7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A03"/>
    <w:pPr>
      <w:widowControl w:val="0"/>
      <w:suppressAutoHyphens/>
      <w:spacing w:after="0" w:line="240" w:lineRule="auto"/>
    </w:pPr>
    <w:rPr>
      <w:rFonts w:ascii="Times New Roman" w:eastAsia="SimSun" w:hAnsi="Times New Roman" w:cs="Arial"/>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C8B"/>
    <w:pPr>
      <w:ind w:left="720"/>
      <w:contextualSpacing/>
    </w:pPr>
    <w:rPr>
      <w:rFonts w:cs="Mangal"/>
      <w:szCs w:val="21"/>
    </w:rPr>
  </w:style>
  <w:style w:type="table" w:styleId="a4">
    <w:name w:val="Table Grid"/>
    <w:basedOn w:val="a1"/>
    <w:uiPriority w:val="59"/>
    <w:rsid w:val="00A17208"/>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641BA3"/>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5">
    <w:name w:val="header"/>
    <w:basedOn w:val="a"/>
    <w:link w:val="a6"/>
    <w:uiPriority w:val="99"/>
    <w:unhideWhenUsed/>
    <w:rsid w:val="00B60201"/>
    <w:pPr>
      <w:tabs>
        <w:tab w:val="center" w:pos="4677"/>
        <w:tab w:val="right" w:pos="9355"/>
      </w:tabs>
    </w:pPr>
    <w:rPr>
      <w:rFonts w:cs="Mangal"/>
      <w:szCs w:val="21"/>
    </w:rPr>
  </w:style>
  <w:style w:type="character" w:customStyle="1" w:styleId="a6">
    <w:name w:val="Верхний колонтитул Знак"/>
    <w:basedOn w:val="a0"/>
    <w:link w:val="a5"/>
    <w:uiPriority w:val="99"/>
    <w:rsid w:val="00B60201"/>
    <w:rPr>
      <w:rFonts w:ascii="Times New Roman" w:eastAsia="SimSun" w:hAnsi="Times New Roman" w:cs="Mangal"/>
      <w:kern w:val="1"/>
      <w:sz w:val="24"/>
      <w:szCs w:val="21"/>
      <w:lang w:eastAsia="hi-IN" w:bidi="hi-IN"/>
    </w:rPr>
  </w:style>
  <w:style w:type="paragraph" w:styleId="a7">
    <w:name w:val="footer"/>
    <w:basedOn w:val="a"/>
    <w:link w:val="a8"/>
    <w:uiPriority w:val="99"/>
    <w:unhideWhenUsed/>
    <w:rsid w:val="00B60201"/>
    <w:pPr>
      <w:tabs>
        <w:tab w:val="center" w:pos="4677"/>
        <w:tab w:val="right" w:pos="9355"/>
      </w:tabs>
    </w:pPr>
    <w:rPr>
      <w:rFonts w:cs="Mangal"/>
      <w:szCs w:val="21"/>
    </w:rPr>
  </w:style>
  <w:style w:type="character" w:customStyle="1" w:styleId="a8">
    <w:name w:val="Нижний колонтитул Знак"/>
    <w:basedOn w:val="a0"/>
    <w:link w:val="a7"/>
    <w:uiPriority w:val="99"/>
    <w:rsid w:val="00B60201"/>
    <w:rPr>
      <w:rFonts w:ascii="Times New Roman" w:eastAsia="SimSun" w:hAnsi="Times New Roman" w:cs="Mangal"/>
      <w:kern w:val="1"/>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775</Words>
  <Characters>4422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2026-01-22T06:51:00Z</dcterms:created>
  <dcterms:modified xsi:type="dcterms:W3CDTF">2026-02-19T14:33:00Z</dcterms:modified>
</cp:coreProperties>
</file>