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FB3A99">
              <w:rPr>
                <w:sz w:val="26"/>
                <w:szCs w:val="26"/>
              </w:rPr>
              <w:t>05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416C5">
              <w:rPr>
                <w:color w:val="000000" w:themeColor="text1"/>
                <w:sz w:val="26"/>
                <w:szCs w:val="26"/>
              </w:rPr>
              <w:t>0</w:t>
            </w:r>
            <w:r w:rsidR="00FB3A99">
              <w:rPr>
                <w:color w:val="000000" w:themeColor="text1"/>
                <w:sz w:val="26"/>
                <w:szCs w:val="26"/>
              </w:rPr>
              <w:t>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416C5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FB3A99">
              <w:rPr>
                <w:color w:val="000000" w:themeColor="text1"/>
                <w:sz w:val="26"/>
                <w:szCs w:val="26"/>
              </w:rPr>
              <w:t>11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0416C5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0416C5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61A57">
            <w:pPr>
              <w:tabs>
                <w:tab w:val="left" w:pos="8505"/>
              </w:tabs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проект постановления Правительства </w:t>
            </w:r>
            <w:r w:rsidR="00AB7DA9"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F585E">
              <w:rPr>
                <w:bCs/>
                <w:color w:val="000000" w:themeColor="text1"/>
                <w:sz w:val="26"/>
                <w:szCs w:val="26"/>
              </w:rPr>
              <w:t xml:space="preserve">«Об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E20BBC" w:rsidRPr="000416C5">
              <w:rPr>
                <w:sz w:val="26"/>
                <w:szCs w:val="26"/>
              </w:rPr>
              <w:t>».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755848" w:rsidRPr="009140E3" w:rsidRDefault="0062096B" w:rsidP="00391F52">
            <w:pPr>
              <w:ind w:left="34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color w:val="000000" w:themeColor="text1"/>
                <w:sz w:val="26"/>
                <w:szCs w:val="26"/>
              </w:rPr>
              <w:t xml:space="preserve">Мероприятия, направленные </w:t>
            </w:r>
            <w:r w:rsidR="00AF3836">
              <w:rPr>
                <w:sz w:val="26"/>
                <w:szCs w:val="26"/>
              </w:rPr>
              <w:t>на</w:t>
            </w:r>
            <w:r w:rsidRPr="000416C5">
              <w:rPr>
                <w:sz w:val="26"/>
                <w:szCs w:val="26"/>
              </w:rPr>
              <w:t xml:space="preserve"> </w:t>
            </w:r>
            <w:r w:rsidR="00AF3836">
              <w:rPr>
                <w:sz w:val="26"/>
                <w:szCs w:val="26"/>
              </w:rPr>
              <w:t>создание</w:t>
            </w:r>
            <w:r w:rsidR="000416C5" w:rsidRPr="000416C5">
              <w:rPr>
                <w:sz w:val="26"/>
                <w:szCs w:val="26"/>
              </w:rPr>
              <w:t xml:space="preserve"> условий для развития научных разработок в селекции и генетике</w:t>
            </w:r>
            <w:r w:rsidR="00400FD8" w:rsidRPr="00374552">
              <w:rPr>
                <w:spacing w:val="-6"/>
                <w:sz w:val="26"/>
                <w:szCs w:val="26"/>
              </w:rPr>
              <w:t>,</w:t>
            </w:r>
            <w:r w:rsidR="00400FD8" w:rsidRPr="00374552">
              <w:rPr>
                <w:sz w:val="26"/>
                <w:szCs w:val="26"/>
              </w:rPr>
              <w:t xml:space="preserve"> будут реализованы в рамках </w:t>
            </w:r>
            <w:r w:rsidR="00374552" w:rsidRPr="00374552">
              <w:rPr>
                <w:sz w:val="26"/>
                <w:szCs w:val="26"/>
              </w:rPr>
              <w:t>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</w:t>
            </w:r>
            <w:r w:rsidR="00400FD8" w:rsidRPr="00374552">
              <w:rPr>
                <w:sz w:val="26"/>
                <w:szCs w:val="26"/>
              </w:rPr>
              <w:t xml:space="preserve"> и Государственной программы развития</w:t>
            </w:r>
            <w:r w:rsidR="00400FD8" w:rsidRPr="00374552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рынков сельскохозяйственной продукции, сырья и продовольствия</w:t>
            </w:r>
            <w:r w:rsidR="00400FD8" w:rsidRPr="00374552">
              <w:rPr>
                <w:sz w:val="26"/>
                <w:szCs w:val="26"/>
                <w:shd w:val="clear" w:color="auto" w:fill="FFFFFF"/>
              </w:rPr>
              <w:t>,</w:t>
            </w:r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утвержденной постановлением Правительства Российской</w:t>
            </w:r>
            <w:proofErr w:type="gramEnd"/>
            <w:r w:rsidR="00400FD8" w:rsidRPr="009140E3">
              <w:rPr>
                <w:sz w:val="26"/>
                <w:szCs w:val="26"/>
                <w:shd w:val="clear" w:color="auto" w:fill="FFFFFF"/>
              </w:rPr>
              <w:t xml:space="preserve"> Федерации</w:t>
            </w:r>
            <w:r w:rsidR="00400FD8" w:rsidRPr="009140E3">
              <w:rPr>
                <w:sz w:val="26"/>
                <w:szCs w:val="26"/>
              </w:rPr>
              <w:t xml:space="preserve"> от 14.07.2012 </w:t>
            </w:r>
            <w:r w:rsidR="00374552">
              <w:rPr>
                <w:sz w:val="26"/>
                <w:szCs w:val="26"/>
              </w:rPr>
              <w:t xml:space="preserve">      </w:t>
            </w:r>
            <w:r w:rsidR="00400FD8" w:rsidRPr="009140E3">
              <w:rPr>
                <w:sz w:val="26"/>
                <w:szCs w:val="26"/>
              </w:rPr>
              <w:t>№ 717 (приложение № 22</w:t>
            </w:r>
            <w:r w:rsidR="000416C5">
              <w:rPr>
                <w:sz w:val="26"/>
                <w:szCs w:val="26"/>
                <w:vertAlign w:val="superscript"/>
              </w:rPr>
              <w:t>2</w:t>
            </w:r>
            <w:r w:rsidR="00400FD8" w:rsidRPr="009140E3">
              <w:rPr>
                <w:sz w:val="26"/>
                <w:szCs w:val="26"/>
              </w:rPr>
              <w:t>)</w:t>
            </w:r>
            <w:r w:rsidR="009140E3" w:rsidRPr="009140E3">
              <w:rPr>
                <w:sz w:val="26"/>
                <w:szCs w:val="26"/>
              </w:rPr>
              <w:t>.</w:t>
            </w:r>
          </w:p>
          <w:p w:rsidR="009140E3" w:rsidRPr="005512E0" w:rsidRDefault="009140E3" w:rsidP="00D173F3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 xml:space="preserve">В связи с этим подготовлен проект постановления Правительства </w:t>
            </w:r>
            <w:r w:rsidRPr="009140E3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0416C5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D61A57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9D4290" w:rsidRPr="009140E3" w:rsidRDefault="009140E3" w:rsidP="00BD21DB">
            <w:pPr>
              <w:ind w:left="34"/>
              <w:jc w:val="both"/>
              <w:rPr>
                <w:sz w:val="26"/>
                <w:szCs w:val="26"/>
              </w:rPr>
            </w:pPr>
            <w:r w:rsidRPr="009140E3">
              <w:rPr>
                <w:sz w:val="26"/>
                <w:szCs w:val="26"/>
              </w:rPr>
              <w:t>Проект подготовлен в соответствии с приложением № 22</w:t>
            </w:r>
            <w:r w:rsidR="000416C5">
              <w:rPr>
                <w:sz w:val="26"/>
                <w:szCs w:val="26"/>
                <w:vertAlign w:val="superscript"/>
              </w:rPr>
              <w:t>2</w:t>
            </w:r>
            <w:r w:rsidRPr="009140E3">
              <w:rPr>
                <w:sz w:val="26"/>
                <w:szCs w:val="26"/>
              </w:rPr>
              <w:t xml:space="preserve"> к Государственной программе развития сельского хозяйства и регулирования рынков сельскохозяйственной продукции,  сырья и продовольствия, утвержденной Постановлением Правительства Российской Федерации от 14 июля 2012 г. № 717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2557E0">
            <w:pPr>
              <w:pStyle w:val="ae"/>
              <w:spacing w:before="0" w:beforeAutospacing="0" w:after="0" w:afterAutospacing="0" w:line="288" w:lineRule="atLeast"/>
              <w:ind w:firstLine="540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оказание </w:t>
            </w:r>
            <w:r w:rsidR="002557E0">
              <w:rPr>
                <w:sz w:val="26"/>
                <w:szCs w:val="26"/>
              </w:rPr>
              <w:t xml:space="preserve">    </w:t>
            </w:r>
            <w:r w:rsidRPr="005512E0">
              <w:rPr>
                <w:sz w:val="26"/>
                <w:szCs w:val="26"/>
              </w:rPr>
              <w:t xml:space="preserve">мер господдержки </w:t>
            </w:r>
            <w:r w:rsidR="002557E0">
              <w:rPr>
                <w:sz w:val="26"/>
                <w:szCs w:val="26"/>
              </w:rPr>
              <w:t xml:space="preserve">   </w:t>
            </w:r>
            <w:r w:rsidRPr="005512E0">
              <w:rPr>
                <w:sz w:val="26"/>
                <w:szCs w:val="26"/>
              </w:rPr>
              <w:t xml:space="preserve">в </w:t>
            </w:r>
            <w:r w:rsidR="002557E0">
              <w:rPr>
                <w:sz w:val="26"/>
                <w:szCs w:val="26"/>
              </w:rPr>
              <w:t xml:space="preserve">  </w:t>
            </w:r>
            <w:r w:rsidRPr="005512E0">
              <w:rPr>
                <w:sz w:val="26"/>
                <w:szCs w:val="26"/>
              </w:rPr>
              <w:t xml:space="preserve">виде </w:t>
            </w:r>
            <w:r w:rsidR="002557E0">
              <w:rPr>
                <w:sz w:val="26"/>
                <w:szCs w:val="26"/>
              </w:rPr>
              <w:t xml:space="preserve">  </w:t>
            </w:r>
            <w:r w:rsidRPr="005512E0">
              <w:rPr>
                <w:sz w:val="26"/>
                <w:szCs w:val="26"/>
              </w:rPr>
              <w:t xml:space="preserve">предоставления  </w:t>
            </w:r>
            <w:r w:rsidR="002557E0">
              <w:rPr>
                <w:sz w:val="26"/>
                <w:szCs w:val="26"/>
              </w:rPr>
              <w:t xml:space="preserve">   </w:t>
            </w:r>
            <w:r w:rsidRPr="005512E0">
              <w:rPr>
                <w:sz w:val="26"/>
                <w:szCs w:val="26"/>
              </w:rPr>
              <w:t xml:space="preserve">субсидий </w:t>
            </w:r>
            <w:r w:rsidR="002557E0">
              <w:rPr>
                <w:sz w:val="26"/>
                <w:szCs w:val="26"/>
              </w:rPr>
              <w:t xml:space="preserve">      заказчикам       комплексных          </w:t>
            </w:r>
            <w:r w:rsidR="00AF3836">
              <w:rPr>
                <w:sz w:val="26"/>
                <w:szCs w:val="26"/>
              </w:rPr>
              <w:t xml:space="preserve">научно-технических </w:t>
            </w:r>
            <w:r w:rsidR="002557E0">
              <w:rPr>
                <w:sz w:val="26"/>
                <w:szCs w:val="26"/>
              </w:rPr>
              <w:t xml:space="preserve">                </w:t>
            </w:r>
            <w:r w:rsidR="00AF3836">
              <w:rPr>
                <w:sz w:val="26"/>
                <w:szCs w:val="26"/>
              </w:rPr>
              <w:t xml:space="preserve">проектов </w:t>
            </w:r>
            <w:r w:rsidR="002557E0">
              <w:rPr>
                <w:sz w:val="26"/>
                <w:szCs w:val="26"/>
              </w:rPr>
              <w:t xml:space="preserve">              </w:t>
            </w:r>
            <w:r w:rsidR="000416C5" w:rsidRPr="000416C5">
              <w:rPr>
                <w:sz w:val="26"/>
                <w:szCs w:val="26"/>
              </w:rPr>
              <w:t xml:space="preserve">в </w:t>
            </w:r>
            <w:r w:rsidR="00AF3836">
              <w:rPr>
                <w:sz w:val="26"/>
                <w:szCs w:val="26"/>
              </w:rPr>
              <w:t xml:space="preserve">                                                </w:t>
            </w:r>
            <w:r w:rsidR="000416C5" w:rsidRPr="000416C5">
              <w:rPr>
                <w:sz w:val="26"/>
                <w:szCs w:val="26"/>
              </w:rPr>
              <w:lastRenderedPageBreak/>
              <w:t xml:space="preserve">агропромышленном комплексе,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участвующим в реализации Федеральной научно - технической программы развития сельского хозяйства на 2017-2030 годы, заключившим с Министерством сельского хозяйства Российской Федерации соглашение о реализации научно – технического проекта и </w:t>
            </w:r>
            <w:r w:rsidR="000416C5" w:rsidRPr="000416C5">
              <w:rPr>
                <w:sz w:val="26"/>
                <w:szCs w:val="26"/>
              </w:rPr>
              <w:t>осуществляющим свою деятельность на территории Курской области</w:t>
            </w:r>
            <w:r w:rsidR="009140E3" w:rsidRPr="0062096B">
              <w:rPr>
                <w:sz w:val="26"/>
                <w:szCs w:val="26"/>
              </w:rPr>
              <w:t xml:space="preserve">, </w:t>
            </w:r>
            <w:r w:rsidR="00FB3A99">
              <w:rPr>
                <w:sz w:val="26"/>
                <w:szCs w:val="26"/>
              </w:rPr>
              <w:t>на возмещение части затрат, понесенных при реализации научно-технических</w:t>
            </w:r>
            <w:proofErr w:type="gramEnd"/>
            <w:r w:rsidR="00FB3A99">
              <w:rPr>
                <w:sz w:val="26"/>
                <w:szCs w:val="26"/>
              </w:rPr>
              <w:t xml:space="preserve"> проектов </w:t>
            </w:r>
            <w:r w:rsidR="00FB3A99" w:rsidRPr="000416C5">
              <w:rPr>
                <w:sz w:val="26"/>
                <w:szCs w:val="26"/>
              </w:rPr>
              <w:t>в агропромышленном комплексе</w:t>
            </w:r>
            <w:r w:rsidR="00B0547A" w:rsidRPr="00B0547A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1.7.</w:t>
            </w:r>
          </w:p>
        </w:tc>
        <w:tc>
          <w:tcPr>
            <w:tcW w:w="8612" w:type="dxa"/>
            <w:shd w:val="clear" w:color="auto" w:fill="auto"/>
          </w:tcPr>
          <w:p w:rsidR="009D429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22372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0416C5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D173F3" w:rsidRPr="00E20BBC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0416C5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Должность: </w:t>
            </w:r>
            <w:r w:rsidR="000416C5">
              <w:rPr>
                <w:sz w:val="26"/>
                <w:szCs w:val="26"/>
              </w:rPr>
              <w:t xml:space="preserve">заместитель </w:t>
            </w:r>
            <w:r w:rsidR="009140E3">
              <w:rPr>
                <w:sz w:val="26"/>
                <w:szCs w:val="26"/>
              </w:rPr>
              <w:t>начальник</w:t>
            </w:r>
            <w:r w:rsidR="000416C5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Адрес электронной почты: </w:t>
            </w:r>
            <w:r w:rsidR="000416C5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субъектам предпринимательской и инвестиционной деятельности субсидий из </w:t>
            </w:r>
            <w:r w:rsidRPr="005512E0">
              <w:rPr>
                <w:sz w:val="26"/>
                <w:szCs w:val="26"/>
              </w:rPr>
              <w:lastRenderedPageBreak/>
              <w:t>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D173F3">
              <w:rPr>
                <w:bCs/>
                <w:color w:val="000000" w:themeColor="text1"/>
                <w:sz w:val="26"/>
                <w:szCs w:val="26"/>
              </w:rPr>
              <w:t>«</w:t>
            </w:r>
            <w:r w:rsidR="000416C5">
              <w:rPr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r w:rsidR="000416C5" w:rsidRPr="000416C5">
              <w:rPr>
                <w:sz w:val="26"/>
                <w:szCs w:val="26"/>
              </w:rPr>
              <w:t xml:space="preserve">Правил предоставления из областного бюджета </w:t>
            </w:r>
            <w:r w:rsidR="000416C5" w:rsidRPr="000416C5">
              <w:rPr>
                <w:color w:val="000000"/>
                <w:sz w:val="26"/>
                <w:szCs w:val="26"/>
              </w:rPr>
              <w:t xml:space="preserve">субсидий </w:t>
            </w:r>
            <w:r w:rsidR="000416C5" w:rsidRPr="000416C5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      </w:r>
            <w:r w:rsidR="000416C5" w:rsidRPr="000416C5">
              <w:rPr>
                <w:color w:val="000000"/>
                <w:sz w:val="26"/>
                <w:szCs w:val="26"/>
              </w:rPr>
              <w:t>развития сельского хозяйства</w:t>
            </w:r>
            <w:r w:rsidR="000416C5" w:rsidRPr="000416C5">
              <w:rPr>
                <w:sz w:val="26"/>
                <w:szCs w:val="26"/>
              </w:rPr>
      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      </w:r>
            <w:r w:rsidR="00D173F3" w:rsidRPr="00E20BBC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>Правил проведения оценки регулирующего</w:t>
            </w:r>
            <w:proofErr w:type="gramEnd"/>
            <w:r w:rsidR="00502AF6" w:rsidRPr="005512E0">
              <w:rPr>
                <w:sz w:val="26"/>
                <w:szCs w:val="26"/>
              </w:rPr>
              <w:t xml:space="preserve">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755848" w:rsidRPr="005512E0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0416C5" w:rsidRPr="000416C5" w:rsidRDefault="000416C5" w:rsidP="000416C5">
            <w:pPr>
              <w:spacing w:line="288" w:lineRule="atLeast"/>
              <w:ind w:firstLine="539"/>
              <w:jc w:val="both"/>
              <w:rPr>
                <w:sz w:val="26"/>
                <w:szCs w:val="26"/>
              </w:rPr>
            </w:pPr>
            <w:r w:rsidRPr="000416C5">
              <w:rPr>
                <w:sz w:val="26"/>
                <w:szCs w:val="26"/>
              </w:rPr>
              <w:t>С 2026 года в рамках федерального проекта «Создание условий для развития научных разработок в селекции и генетике», входящего в состав национального проекта по обеспечению технологического лидерства «Технологическое обеспечение продовольственной безопасности» и Государственной программы развития</w:t>
            </w:r>
            <w:r w:rsidRPr="000416C5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 хозяйства и регулирования </w:t>
            </w:r>
            <w:r w:rsidRPr="000416C5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lastRenderedPageBreak/>
              <w:t>рынков сельскохозяйственной продукции, сырья и продовольствия</w:t>
            </w:r>
            <w:r w:rsidRPr="000416C5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Pr="000416C5">
              <w:rPr>
                <w:sz w:val="26"/>
                <w:szCs w:val="26"/>
              </w:rPr>
              <w:t xml:space="preserve"> от 14.07.2012 № 717 </w:t>
            </w:r>
            <w:proofErr w:type="gramStart"/>
            <w:r w:rsidRPr="000416C5">
              <w:rPr>
                <w:sz w:val="26"/>
                <w:szCs w:val="26"/>
              </w:rPr>
              <w:t xml:space="preserve">( </w:t>
            </w:r>
            <w:proofErr w:type="gramEnd"/>
            <w:r w:rsidRPr="000416C5">
              <w:rPr>
                <w:sz w:val="26"/>
                <w:szCs w:val="26"/>
              </w:rPr>
              <w:t xml:space="preserve">приложение № </w:t>
            </w:r>
            <w:r w:rsidRPr="000416C5">
              <w:rPr>
                <w:color w:val="000000" w:themeColor="text1"/>
                <w:sz w:val="26"/>
                <w:szCs w:val="26"/>
              </w:rPr>
              <w:t>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  <w:r w:rsidRPr="000416C5">
              <w:rPr>
                <w:sz w:val="26"/>
                <w:szCs w:val="26"/>
              </w:rPr>
              <w:t>), пре</w:t>
            </w:r>
            <w:r w:rsidRPr="000416C5">
              <w:rPr>
                <w:bCs/>
                <w:color w:val="000000"/>
                <w:sz w:val="26"/>
                <w:szCs w:val="26"/>
              </w:rPr>
              <w:t xml:space="preserve">дусмотрены меры господдержки в виде предоставления субсидий на возмещение части затрат, понесенных заказчиками </w:t>
            </w:r>
            <w:r w:rsidRPr="000416C5">
              <w:rPr>
                <w:color w:val="000000"/>
                <w:sz w:val="26"/>
                <w:szCs w:val="26"/>
              </w:rPr>
              <w:t>комплексных научно-технических проектов в агропромышленном комплексе при их реализации.</w:t>
            </w:r>
            <w:r w:rsidRPr="000416C5">
              <w:rPr>
                <w:sz w:val="26"/>
                <w:szCs w:val="26"/>
              </w:rPr>
              <w:t xml:space="preserve"> </w:t>
            </w:r>
          </w:p>
          <w:p w:rsidR="000416C5" w:rsidRPr="000416C5" w:rsidRDefault="000416C5" w:rsidP="000416C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0416C5">
              <w:rPr>
                <w:sz w:val="26"/>
                <w:szCs w:val="26"/>
              </w:rPr>
              <w:t xml:space="preserve">Проект постановления Правительства Курской области «Об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комплексе»</w:t>
            </w:r>
            <w:r w:rsidRPr="000416C5">
              <w:rPr>
                <w:sz w:val="26"/>
                <w:szCs w:val="26"/>
              </w:rPr>
              <w:t xml:space="preserve">, подготовлен в соответствии с </w:t>
            </w:r>
            <w:hyperlink r:id="rId8" w:history="1">
              <w:r w:rsidRPr="000416C5">
                <w:rPr>
                  <w:color w:val="000000" w:themeColor="text1"/>
                  <w:sz w:val="26"/>
                  <w:szCs w:val="26"/>
                </w:rPr>
                <w:t>приложением №</w:t>
              </w:r>
            </w:hyperlink>
            <w:r w:rsidRPr="000416C5">
              <w:rPr>
                <w:color w:val="000000" w:themeColor="text1"/>
                <w:sz w:val="26"/>
                <w:szCs w:val="26"/>
              </w:rPr>
              <w:t xml:space="preserve"> 22</w:t>
            </w:r>
            <w:r w:rsidRPr="000416C5">
              <w:rPr>
                <w:color w:val="000000" w:themeColor="text1"/>
                <w:sz w:val="26"/>
                <w:szCs w:val="26"/>
                <w:vertAlign w:val="superscript"/>
              </w:rPr>
              <w:t xml:space="preserve">2 </w:t>
            </w:r>
            <w:r w:rsidRPr="000416C5">
              <w:rPr>
                <w:sz w:val="26"/>
                <w:szCs w:val="26"/>
              </w:rPr>
              <w:t xml:space="preserve"> к  Государственной программе развития сельского хозяйства и регулирования рынков</w:t>
            </w:r>
            <w:proofErr w:type="gramEnd"/>
            <w:r w:rsidRPr="000416C5">
              <w:rPr>
                <w:sz w:val="26"/>
                <w:szCs w:val="26"/>
              </w:rPr>
              <w:t xml:space="preserve"> сельскохозяйственной продукции, сырья и продовольствия, утвержденной постановлением Правительства Российской Федерации от 14 июля 2012 г. № 717.</w:t>
            </w:r>
          </w:p>
          <w:p w:rsidR="00755848" w:rsidRPr="005512E0" w:rsidRDefault="00755848" w:rsidP="00FA2B72">
            <w:pPr>
              <w:ind w:left="34" w:firstLine="4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5B142E" w:rsidP="00E20BBC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1321B9">
              <w:rPr>
                <w:bCs/>
                <w:color w:val="000000" w:themeColor="text1"/>
                <w:sz w:val="26"/>
                <w:szCs w:val="26"/>
              </w:rPr>
              <w:t xml:space="preserve">Правил </w:t>
            </w:r>
            <w:r w:rsidR="00E71E1C" w:rsidRPr="000416C5">
              <w:rPr>
                <w:sz w:val="26"/>
                <w:szCs w:val="26"/>
              </w:rPr>
              <w:t xml:space="preserve">предоставления из областного бюджета субсидий </w:t>
            </w:r>
            <w:r w:rsidR="00E71E1C"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="00E71E1C"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="00E71E1C"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1321B9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оказание мер господдержки </w:t>
            </w:r>
            <w:r w:rsidR="0094195E" w:rsidRPr="0094195E">
              <w:rPr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</w:t>
            </w:r>
            <w:r w:rsidR="0094195E" w:rsidRPr="0094195E">
              <w:rPr>
                <w:color w:val="000000"/>
                <w:sz w:val="26"/>
                <w:szCs w:val="26"/>
              </w:rPr>
              <w:t xml:space="preserve">участвующим в реализации Федеральной научно - технической программы развития сельского хозяйства на 2017-2030 годы, </w:t>
            </w:r>
            <w:r w:rsidR="0094195E" w:rsidRPr="0094195E">
              <w:rPr>
                <w:color w:val="000000"/>
                <w:sz w:val="26"/>
                <w:szCs w:val="26"/>
              </w:rPr>
              <w:lastRenderedPageBreak/>
              <w:t xml:space="preserve">заключившим с Министерством сельского хозяйства Российской Федерации соглашение о реализации научно – технического проекта и </w:t>
            </w:r>
            <w:r w:rsidR="0094195E" w:rsidRPr="0094195E">
              <w:rPr>
                <w:sz w:val="26"/>
                <w:szCs w:val="26"/>
              </w:rPr>
              <w:t>осуществляющим свою деятельность на территории Курской области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31.12.202</w:t>
            </w:r>
            <w:r w:rsidR="0094195E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755848" w:rsidRPr="00E20BBC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областного бюджета </w:t>
            </w:r>
            <w:r w:rsidRPr="00E15C4C">
              <w:rPr>
                <w:sz w:val="26"/>
                <w:szCs w:val="26"/>
              </w:rPr>
              <w:t>субсидий</w:t>
            </w:r>
            <w:r w:rsidR="00E20BBC" w:rsidRPr="00E15C4C">
              <w:rPr>
                <w:sz w:val="26"/>
                <w:szCs w:val="26"/>
              </w:rPr>
              <w:t xml:space="preserve"> </w:t>
            </w:r>
            <w:r w:rsidR="00E20BBC" w:rsidRPr="00E15C4C">
              <w:rPr>
                <w:color w:val="00000A"/>
                <w:sz w:val="26"/>
                <w:szCs w:val="26"/>
              </w:rPr>
              <w:t xml:space="preserve"> </w:t>
            </w:r>
            <w:r w:rsidR="00E15C4C" w:rsidRPr="00E15C4C">
              <w:rPr>
                <w:sz w:val="26"/>
                <w:szCs w:val="26"/>
              </w:rPr>
              <w:t>на возмещение 50 процентов затрат (без учета налога на добавленную стоимость), предусмотренных паспортом научно – технического проекта и фактически понесенных при реализации научно – технического проекта в отчетном году, а также за период, начиная с календарного года начала реализации научно - технического проекта по календарный год (включительно), предшествующий отчетному году</w:t>
            </w:r>
            <w:r w:rsidR="00FB3A99">
              <w:rPr>
                <w:sz w:val="26"/>
                <w:szCs w:val="26"/>
              </w:rPr>
              <w:t>,</w:t>
            </w:r>
            <w:r w:rsidR="00E15C4C">
              <w:rPr>
                <w:sz w:val="26"/>
                <w:szCs w:val="26"/>
              </w:rPr>
              <w:t xml:space="preserve"> </w:t>
            </w:r>
            <w:r w:rsidRPr="00E15C4C">
              <w:rPr>
                <w:sz w:val="26"/>
                <w:szCs w:val="26"/>
              </w:rPr>
              <w:t>осуществляется в</w:t>
            </w:r>
            <w:r w:rsidR="00E20BBC" w:rsidRPr="00E15C4C">
              <w:rPr>
                <w:sz w:val="26"/>
                <w:szCs w:val="26"/>
              </w:rPr>
              <w:t xml:space="preserve"> соответств</w:t>
            </w:r>
            <w:r w:rsidR="00CC46B6" w:rsidRPr="00E15C4C">
              <w:rPr>
                <w:sz w:val="26"/>
                <w:szCs w:val="26"/>
              </w:rPr>
              <w:t>и</w:t>
            </w:r>
            <w:r w:rsidR="00E20BBC" w:rsidRPr="00E15C4C">
              <w:rPr>
                <w:sz w:val="26"/>
                <w:szCs w:val="26"/>
              </w:rPr>
              <w:t>и</w:t>
            </w:r>
            <w:r w:rsidR="001321B9" w:rsidRPr="00E15C4C">
              <w:rPr>
                <w:sz w:val="26"/>
                <w:szCs w:val="26"/>
              </w:rPr>
              <w:t xml:space="preserve"> </w:t>
            </w:r>
            <w:r w:rsidR="005B142E" w:rsidRPr="00E15C4C">
              <w:rPr>
                <w:sz w:val="26"/>
                <w:szCs w:val="26"/>
              </w:rPr>
              <w:t>с Г</w:t>
            </w:r>
            <w:r w:rsidR="006B18E0" w:rsidRPr="00E15C4C">
              <w:rPr>
                <w:sz w:val="26"/>
                <w:szCs w:val="26"/>
              </w:rPr>
              <w:t xml:space="preserve">осударственной программой </w:t>
            </w:r>
            <w:r w:rsidR="005B142E" w:rsidRPr="00E15C4C">
              <w:rPr>
                <w:sz w:val="26"/>
                <w:szCs w:val="26"/>
              </w:rPr>
              <w:t>развития</w:t>
            </w:r>
            <w:r w:rsidR="005B142E" w:rsidRPr="00E15C4C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сельского</w:t>
            </w:r>
            <w:proofErr w:type="gramEnd"/>
            <w:r w:rsidR="005B142E" w:rsidRPr="00E15C4C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хозяйства и регулирован</w:t>
            </w:r>
            <w:r w:rsidR="005B142E" w:rsidRPr="009140E3">
              <w:rPr>
                <w:color w:val="000000"/>
                <w:spacing w:val="-4"/>
                <w:sz w:val="26"/>
                <w:szCs w:val="26"/>
                <w:shd w:val="clear" w:color="auto" w:fill="FFFFFF"/>
              </w:rPr>
              <w:t>ия рынков сельскохозяйственной продукции, сырья и продовольствия</w:t>
            </w:r>
            <w:r w:rsidR="005B142E" w:rsidRPr="009140E3">
              <w:rPr>
                <w:sz w:val="26"/>
                <w:szCs w:val="26"/>
                <w:shd w:val="clear" w:color="auto" w:fill="FFFFFF"/>
              </w:rPr>
              <w:t>, утвержденной постановлением Правительства Российской Федерации</w:t>
            </w:r>
            <w:r w:rsidR="005B142E" w:rsidRPr="009140E3">
              <w:rPr>
                <w:sz w:val="26"/>
                <w:szCs w:val="26"/>
              </w:rPr>
              <w:t xml:space="preserve"> от 14.07.2012 № 717</w:t>
            </w:r>
            <w:r w:rsidR="005B142E">
              <w:rPr>
                <w:sz w:val="26"/>
                <w:szCs w:val="26"/>
              </w:rPr>
              <w:t>.</w:t>
            </w:r>
          </w:p>
          <w:p w:rsidR="00E20BBC" w:rsidRPr="00F84F13" w:rsidRDefault="00755848" w:rsidP="00FB270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F84F13">
              <w:rPr>
                <w:sz w:val="26"/>
                <w:szCs w:val="26"/>
              </w:rPr>
              <w:t>Результат</w:t>
            </w:r>
            <w:r w:rsidR="001B5ED4" w:rsidRPr="00F84F13">
              <w:rPr>
                <w:sz w:val="26"/>
                <w:szCs w:val="26"/>
              </w:rPr>
              <w:t>ом</w:t>
            </w:r>
            <w:r w:rsidRPr="00F84F13">
              <w:rPr>
                <w:sz w:val="26"/>
                <w:szCs w:val="26"/>
              </w:rPr>
              <w:t xml:space="preserve"> предоставления субсидии </w:t>
            </w:r>
            <w:r w:rsidR="002E02AE" w:rsidRPr="00F84F13">
              <w:rPr>
                <w:sz w:val="26"/>
                <w:szCs w:val="26"/>
              </w:rPr>
              <w:t>явля</w:t>
            </w:r>
            <w:r w:rsidR="001B5ED4" w:rsidRPr="00F84F13">
              <w:rPr>
                <w:sz w:val="26"/>
                <w:szCs w:val="26"/>
              </w:rPr>
              <w:t>е</w:t>
            </w:r>
            <w:r w:rsidR="002E02AE" w:rsidRPr="00F84F13">
              <w:rPr>
                <w:sz w:val="26"/>
                <w:szCs w:val="26"/>
              </w:rPr>
              <w:t>тся</w:t>
            </w:r>
            <w:r w:rsidR="001B5ED4" w:rsidRPr="00F84F13">
              <w:rPr>
                <w:sz w:val="26"/>
                <w:szCs w:val="26"/>
              </w:rPr>
              <w:t xml:space="preserve"> </w:t>
            </w:r>
            <w:r w:rsidR="001321B9" w:rsidRPr="00F84F13">
              <w:rPr>
                <w:sz w:val="26"/>
                <w:szCs w:val="26"/>
              </w:rPr>
              <w:t xml:space="preserve">количество единиц, </w:t>
            </w:r>
            <w:r w:rsidR="00E15C4C" w:rsidRPr="00E15C4C">
              <w:rPr>
                <w:sz w:val="26"/>
                <w:szCs w:val="26"/>
              </w:rPr>
              <w:t>реализованных комплексных научно-технических проектов на территории Курской области</w:t>
            </w:r>
            <w:r w:rsidR="00E20BBC" w:rsidRPr="00E15C4C">
              <w:rPr>
                <w:sz w:val="26"/>
                <w:szCs w:val="26"/>
              </w:rPr>
              <w:t>.</w:t>
            </w:r>
          </w:p>
          <w:p w:rsidR="00755848" w:rsidRPr="005512E0" w:rsidRDefault="00755848" w:rsidP="00E15C4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Реализация данного мероприятия будет </w:t>
            </w:r>
            <w:r w:rsidRPr="00BC1C03">
              <w:rPr>
                <w:sz w:val="26"/>
                <w:szCs w:val="26"/>
              </w:rPr>
              <w:t xml:space="preserve">способствовать </w:t>
            </w:r>
            <w:r w:rsidR="00E15C4C">
              <w:rPr>
                <w:sz w:val="26"/>
                <w:szCs w:val="26"/>
                <w:shd w:val="clear" w:color="auto" w:fill="FFFFFF"/>
              </w:rPr>
              <w:t>научно-техническому развитию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E15C4C">
              <w:rPr>
                <w:sz w:val="26"/>
                <w:szCs w:val="26"/>
                <w:shd w:val="clear" w:color="auto" w:fill="FFFFFF"/>
              </w:rPr>
              <w:t xml:space="preserve">в сфере АПК 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 xml:space="preserve">и </w:t>
            </w:r>
            <w:r w:rsidR="00E15C4C">
              <w:rPr>
                <w:sz w:val="26"/>
                <w:szCs w:val="26"/>
                <w:shd w:val="clear" w:color="auto" w:fill="FFFFFF"/>
              </w:rPr>
              <w:t>обеспечению</w:t>
            </w:r>
            <w:r w:rsidR="00BC1C03" w:rsidRPr="00BC1C03">
              <w:rPr>
                <w:sz w:val="26"/>
                <w:szCs w:val="26"/>
                <w:shd w:val="clear" w:color="auto" w:fill="FFFFFF"/>
              </w:rPr>
              <w:t xml:space="preserve"> продовольственной безопасности России.</w:t>
            </w:r>
            <w:r w:rsidR="00507EB1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="00E15C4C" w:rsidRPr="00E15C4C">
              <w:rPr>
                <w:sz w:val="26"/>
                <w:szCs w:val="26"/>
                <w:shd w:val="clear" w:color="auto" w:fill="FFFFFF"/>
              </w:rPr>
              <w:t>В рамках КНТП могут проводиться работы по селекции новых сортов, разработке технологий семеноводства и защиты, усовершенствованию сельхозтехники</w:t>
            </w:r>
            <w:r w:rsidR="00BC1C03" w:rsidRPr="00E15C4C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проблема:</w:t>
            </w:r>
            <w:proofErr w:type="gramEnd"/>
          </w:p>
          <w:p w:rsidR="00507EB1" w:rsidRPr="00B479FE" w:rsidRDefault="00507EB1" w:rsidP="00507EB1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0416C5">
              <w:rPr>
                <w:sz w:val="26"/>
                <w:szCs w:val="26"/>
              </w:rPr>
              <w:t xml:space="preserve">«Об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комплексе»</w:t>
            </w:r>
            <w:r>
              <w:rPr>
                <w:sz w:val="26"/>
                <w:szCs w:val="26"/>
              </w:rPr>
              <w:t>.</w:t>
            </w:r>
          </w:p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755848" w:rsidRPr="005512E0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предлагаемого способа решения проблемы:</w:t>
            </w:r>
          </w:p>
          <w:p w:rsidR="00755848" w:rsidRPr="005512E0" w:rsidRDefault="00507EB1" w:rsidP="001B5ED4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 1 содержит риски </w:t>
            </w:r>
            <w:r>
              <w:rPr>
                <w:sz w:val="26"/>
                <w:szCs w:val="26"/>
              </w:rPr>
              <w:lastRenderedPageBreak/>
              <w:t xml:space="preserve">неблагоприятных последствий. Мероприятия госпрограммы не будут выполнены,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Утвердить проект постановления </w:t>
            </w:r>
            <w:r w:rsidRPr="00B479FE">
              <w:rPr>
                <w:sz w:val="26"/>
                <w:szCs w:val="26"/>
              </w:rPr>
              <w:t>«</w:t>
            </w:r>
            <w:r w:rsidRPr="000416C5">
              <w:rPr>
                <w:sz w:val="26"/>
                <w:szCs w:val="26"/>
              </w:rPr>
              <w:t xml:space="preserve">Об утверждении Правил предоставления из областного бюджета субсидий </w:t>
            </w:r>
            <w:r w:rsidRPr="000416C5">
              <w:rPr>
                <w:color w:val="000000"/>
                <w:sz w:val="26"/>
                <w:szCs w:val="26"/>
              </w:rPr>
      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развития сельского хозяйства на 2017-2030 годы, </w:t>
            </w:r>
            <w:r w:rsidRPr="000416C5">
              <w:rPr>
                <w:bCs/>
                <w:color w:val="000000"/>
                <w:sz w:val="26"/>
                <w:szCs w:val="26"/>
              </w:rPr>
              <w:t>на возмещение части затрат, понесенных  при реализации</w:t>
            </w:r>
            <w:r w:rsidRPr="000416C5">
              <w:rPr>
                <w:color w:val="000000"/>
                <w:sz w:val="26"/>
                <w:szCs w:val="26"/>
              </w:rPr>
              <w:t xml:space="preserve"> научно-технических проектов в агропромышленном комплексе</w:t>
            </w:r>
            <w:r w:rsidRPr="00B479F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который  позволит достичь цели правового регулирования.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507EB1" w:rsidP="004D793B">
            <w:pPr>
              <w:spacing w:line="228" w:lineRule="auto"/>
              <w:jc w:val="center"/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4D793B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D3C59" w:rsidRDefault="00DD3C59" w:rsidP="00D45D35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заказчики</w:t>
            </w:r>
            <w:r w:rsidRPr="00DD3C59">
              <w:rPr>
                <w:sz w:val="26"/>
                <w:szCs w:val="26"/>
              </w:rPr>
              <w:t xml:space="preserve"> комплексных научно-технических проектов в агропромышленном комплексе, </w:t>
            </w:r>
            <w:r w:rsidR="004D793B">
              <w:rPr>
                <w:color w:val="000000"/>
                <w:sz w:val="26"/>
                <w:szCs w:val="26"/>
              </w:rPr>
              <w:t>участвующие</w:t>
            </w:r>
            <w:r w:rsidRPr="00DD3C59">
              <w:rPr>
                <w:color w:val="000000"/>
                <w:sz w:val="26"/>
                <w:szCs w:val="26"/>
              </w:rPr>
              <w:t xml:space="preserve"> в реализации Федеральной научно - технической программы развития сельского хозяйства на 2017-2030 годы,</w:t>
            </w:r>
            <w:r>
              <w:rPr>
                <w:color w:val="000000"/>
                <w:sz w:val="26"/>
                <w:szCs w:val="26"/>
              </w:rPr>
              <w:t xml:space="preserve"> заключившие</w:t>
            </w:r>
            <w:r w:rsidRPr="00DD3C59">
              <w:rPr>
                <w:color w:val="000000"/>
                <w:sz w:val="26"/>
                <w:szCs w:val="26"/>
              </w:rPr>
              <w:t xml:space="preserve"> с Министерством сельского хозяйства Российской Федерации соглашение о реализации научно – технического проекта и </w:t>
            </w:r>
            <w:r w:rsidR="004D793B">
              <w:rPr>
                <w:sz w:val="26"/>
                <w:szCs w:val="26"/>
              </w:rPr>
              <w:t>осуществляющие</w:t>
            </w:r>
            <w:r w:rsidRPr="00DD3C59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Субсидию могут получить </w:t>
            </w:r>
            <w:r w:rsidR="00DD3C59">
              <w:rPr>
                <w:sz w:val="26"/>
                <w:szCs w:val="26"/>
              </w:rPr>
              <w:t>заказчики</w:t>
            </w:r>
            <w:r w:rsidR="00DD3C59" w:rsidRPr="00DD3C59">
              <w:rPr>
                <w:sz w:val="26"/>
                <w:szCs w:val="26"/>
              </w:rPr>
              <w:t xml:space="preserve"> комплексных научно-технических проектов в агропромышленном комплексе, </w:t>
            </w:r>
            <w:r w:rsidR="004D793B">
              <w:rPr>
                <w:color w:val="000000"/>
                <w:sz w:val="26"/>
                <w:szCs w:val="26"/>
              </w:rPr>
              <w:t>участвующие</w:t>
            </w:r>
            <w:r w:rsidR="00DD3C59" w:rsidRPr="00DD3C59">
              <w:rPr>
                <w:color w:val="000000"/>
                <w:sz w:val="26"/>
                <w:szCs w:val="26"/>
              </w:rPr>
              <w:t xml:space="preserve"> в реализации Федеральной научно - технической программы развития сельского хозяйства на 2017-2030 годы,</w:t>
            </w:r>
            <w:r w:rsidR="00DD3C59">
              <w:rPr>
                <w:color w:val="000000"/>
                <w:sz w:val="26"/>
                <w:szCs w:val="26"/>
              </w:rPr>
              <w:t xml:space="preserve"> заключившие</w:t>
            </w:r>
            <w:r w:rsidR="00DD3C59" w:rsidRPr="00DD3C59">
              <w:rPr>
                <w:color w:val="000000"/>
                <w:sz w:val="26"/>
                <w:szCs w:val="26"/>
              </w:rPr>
              <w:t xml:space="preserve"> с Министерством сельского хозяйства Российской Федерации соглашение о реализации научно – технического проекта и </w:t>
            </w:r>
            <w:r w:rsidR="004D793B">
              <w:rPr>
                <w:sz w:val="26"/>
                <w:szCs w:val="26"/>
              </w:rPr>
              <w:t>осуществляющие</w:t>
            </w:r>
            <w:r w:rsidR="00DD3C59" w:rsidRPr="00DD3C59">
              <w:rPr>
                <w:sz w:val="26"/>
                <w:szCs w:val="26"/>
              </w:rPr>
              <w:t xml:space="preserve"> свою деятельность на территории Курской области</w:t>
            </w:r>
            <w:r w:rsidRPr="005512E0">
              <w:rPr>
                <w:sz w:val="26"/>
                <w:szCs w:val="26"/>
              </w:rPr>
              <w:t>, соответствующие требованиям и усл</w:t>
            </w:r>
            <w:r w:rsidR="00292D14">
              <w:rPr>
                <w:sz w:val="26"/>
                <w:szCs w:val="26"/>
              </w:rPr>
              <w:t>овиям, установленным Правилами.</w:t>
            </w:r>
            <w:proofErr w:type="gramEnd"/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lastRenderedPageBreak/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DD3C59">
        <w:trPr>
          <w:trHeight w:val="36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№</w:t>
            </w:r>
            <w:r w:rsidR="00DD3C59">
              <w:rPr>
                <w:sz w:val="26"/>
                <w:szCs w:val="26"/>
              </w:rPr>
              <w:t xml:space="preserve"> 2</w:t>
            </w:r>
            <w:r w:rsidRPr="0087740B"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DD3C59" w:rsidRPr="00D74423" w:rsidTr="00DD3C59">
        <w:trPr>
          <w:trHeight w:val="20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DD3C59" w:rsidRDefault="00DD3C59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DD3C59" w:rsidRPr="0087740B" w:rsidRDefault="00DD3C59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DD3C59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12.5</w:t>
            </w:r>
            <w:r w:rsidR="00DD3C59">
              <w:rPr>
                <w:sz w:val="26"/>
                <w:szCs w:val="26"/>
              </w:rPr>
              <w:t xml:space="preserve"> Источники данных: </w:t>
            </w:r>
          </w:p>
          <w:p w:rsidR="00755848" w:rsidRPr="00D74423" w:rsidRDefault="00DD3C59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lastRenderedPageBreak/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</w:t>
            </w:r>
            <w:r w:rsidRPr="005512E0">
              <w:rPr>
                <w:sz w:val="26"/>
                <w:szCs w:val="26"/>
              </w:rPr>
              <w:lastRenderedPageBreak/>
              <w:t xml:space="preserve">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lastRenderedPageBreak/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755848" w:rsidRPr="00402C57" w:rsidRDefault="00755848" w:rsidP="00755848">
      <w:pPr>
        <w:spacing w:line="228" w:lineRule="auto"/>
        <w:ind w:right="-427"/>
        <w:jc w:val="both"/>
        <w:rPr>
          <w:sz w:val="26"/>
          <w:szCs w:val="26"/>
        </w:rPr>
      </w:pPr>
      <w:r w:rsidRPr="00402C57">
        <w:rPr>
          <w:sz w:val="26"/>
          <w:szCs w:val="26"/>
        </w:rPr>
        <w:t xml:space="preserve">Приложение: </w:t>
      </w:r>
    </w:p>
    <w:p w:rsidR="00574553" w:rsidRDefault="009312F0" w:rsidP="00574553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proofErr w:type="gramStart"/>
      <w:r w:rsidR="00574553">
        <w:t xml:space="preserve">Проект постановления Правительства Курской области </w:t>
      </w:r>
      <w:r w:rsidR="00BE0224" w:rsidRPr="00BE0224">
        <w:rPr>
          <w:bCs/>
          <w:color w:val="000000" w:themeColor="text1"/>
        </w:rPr>
        <w:t>«</w:t>
      </w:r>
      <w:r w:rsidR="00006D08" w:rsidRPr="00006D08">
        <w:rPr>
          <w:bCs/>
          <w:color w:val="000000" w:themeColor="text1"/>
        </w:rPr>
        <w:t xml:space="preserve">Об утверждении </w:t>
      </w:r>
      <w:r w:rsidR="00006D08" w:rsidRPr="00006D08">
        <w:t xml:space="preserve">Правил предоставления из областного бюджета </w:t>
      </w:r>
      <w:r w:rsidR="00006D08" w:rsidRPr="00006D08">
        <w:rPr>
          <w:color w:val="000000"/>
        </w:rPr>
        <w:t xml:space="preserve">субсидий </w:t>
      </w:r>
      <w:r w:rsidR="00006D08" w:rsidRPr="00006D08">
        <w:t xml:space="preserve">заказчикам комплексных научно-технических проектов в агропромышленном комплексе, участвующим в реализации Федеральной научно – технической программы </w:t>
      </w:r>
      <w:r w:rsidR="00006D08" w:rsidRPr="00006D08">
        <w:rPr>
          <w:color w:val="000000"/>
        </w:rPr>
        <w:t>развития сельского хозяйства</w:t>
      </w:r>
      <w:r w:rsidR="00006D08" w:rsidRPr="00006D08">
        <w:t xml:space="preserve"> на 2017-2030 годы, на возмещение части затрат, понесённых при реализации научно – технических проектов в агропромышленном комплексе</w:t>
      </w:r>
      <w:r w:rsidR="00BE0224" w:rsidRPr="00BE0224">
        <w:t>»</w:t>
      </w:r>
      <w:r w:rsidR="00BE0224">
        <w:rPr>
          <w:sz w:val="26"/>
          <w:szCs w:val="26"/>
        </w:rPr>
        <w:t xml:space="preserve"> </w:t>
      </w:r>
      <w:r w:rsidR="00D173F3">
        <w:t>на</w:t>
      </w:r>
      <w:r w:rsidR="00D173F3" w:rsidRPr="00D173F3">
        <w:t xml:space="preserve"> </w:t>
      </w:r>
      <w:r w:rsidR="00006D08">
        <w:t>22</w:t>
      </w:r>
      <w:r w:rsidR="00D173F3" w:rsidRPr="00D173F3">
        <w:t xml:space="preserve"> </w:t>
      </w:r>
      <w:r w:rsidR="00574553">
        <w:t>л. в 1 экз.;</w:t>
      </w:r>
      <w:proofErr w:type="gramEnd"/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FB3A99" w:rsidP="00755848">
      <w:pPr>
        <w:spacing w:line="228" w:lineRule="auto"/>
      </w:pPr>
      <w:bookmarkStart w:id="3" w:name="_Hlk144821583"/>
      <w:proofErr w:type="spellStart"/>
      <w:r>
        <w:t>И.о</w:t>
      </w:r>
      <w:proofErr w:type="spellEnd"/>
      <w:r>
        <w:t>. м</w:t>
      </w:r>
      <w:r w:rsidR="00755848" w:rsidRPr="00040FA8">
        <w:t>инистр</w:t>
      </w:r>
      <w:r>
        <w:t>а</w:t>
      </w:r>
      <w:r w:rsidR="00755848" w:rsidRPr="00040FA8">
        <w:t xml:space="preserve">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="00FB3A99">
        <w:t>И.Э</w:t>
      </w:r>
      <w:r w:rsidRPr="00040FA8">
        <w:t xml:space="preserve">. </w:t>
      </w:r>
      <w:r w:rsidR="00FB3A99">
        <w:t>Полянская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3"/>
      <w:r w:rsidR="00335741" w:rsidRPr="001B5ED4">
        <w:rPr>
          <w:sz w:val="22"/>
          <w:szCs w:val="22"/>
        </w:rPr>
        <w:t>«</w:t>
      </w:r>
      <w:r w:rsidR="00FB3A99">
        <w:rPr>
          <w:sz w:val="22"/>
          <w:szCs w:val="22"/>
        </w:rPr>
        <w:t>04</w:t>
      </w:r>
      <w:bookmarkStart w:id="4" w:name="_GoBack"/>
      <w:bookmarkEnd w:id="4"/>
      <w:r w:rsidR="00335741" w:rsidRPr="001B5ED4">
        <w:rPr>
          <w:sz w:val="22"/>
          <w:szCs w:val="22"/>
        </w:rPr>
        <w:t xml:space="preserve">» </w:t>
      </w:r>
      <w:r w:rsidR="00FB3A99">
        <w:rPr>
          <w:sz w:val="22"/>
          <w:szCs w:val="22"/>
        </w:rPr>
        <w:t>февраля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006D08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9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3B" w:rsidRDefault="004D793B" w:rsidP="00755848">
      <w:r>
        <w:separator/>
      </w:r>
    </w:p>
  </w:endnote>
  <w:endnote w:type="continuationSeparator" w:id="0">
    <w:p w:rsidR="004D793B" w:rsidRDefault="004D793B" w:rsidP="00755848">
      <w:r>
        <w:continuationSeparator/>
      </w:r>
    </w:p>
  </w:endnote>
  <w:endnote w:id="1">
    <w:p w:rsidR="004D793B" w:rsidRPr="00801C63" w:rsidRDefault="004D793B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4D793B" w:rsidRDefault="004D793B" w:rsidP="00755848">
      <w:pPr>
        <w:pStyle w:val="a7"/>
      </w:pPr>
    </w:p>
  </w:endnote>
  <w:endnote w:id="2">
    <w:p w:rsidR="004D793B" w:rsidRDefault="004D793B" w:rsidP="00755848">
      <w:pPr>
        <w:pStyle w:val="a5"/>
        <w:jc w:val="both"/>
      </w:pPr>
      <w:bookmarkStart w:id="1" w:name="_Hlk147160240"/>
      <w:bookmarkStart w:id="2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1"/>
    <w:bookmarkEnd w:id="2"/>
    <w:p w:rsidR="004D793B" w:rsidRDefault="004D793B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3B" w:rsidRDefault="004D793B" w:rsidP="00755848">
      <w:r>
        <w:separator/>
      </w:r>
    </w:p>
  </w:footnote>
  <w:footnote w:type="continuationSeparator" w:id="0">
    <w:p w:rsidR="004D793B" w:rsidRDefault="004D793B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3B" w:rsidRPr="00295E46" w:rsidRDefault="004D793B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 w:rsidR="000813D5">
      <w:rPr>
        <w:noProof/>
        <w:sz w:val="22"/>
        <w:szCs w:val="22"/>
      </w:rPr>
      <w:t>9</w:t>
    </w:r>
    <w:r w:rsidRPr="00295E46">
      <w:rPr>
        <w:sz w:val="22"/>
        <w:szCs w:val="22"/>
      </w:rPr>
      <w:fldChar w:fldCharType="end"/>
    </w:r>
  </w:p>
  <w:p w:rsidR="004D793B" w:rsidRDefault="004D79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06D08"/>
    <w:rsid w:val="00024FAA"/>
    <w:rsid w:val="00040FA8"/>
    <w:rsid w:val="000416C5"/>
    <w:rsid w:val="0004278C"/>
    <w:rsid w:val="00046338"/>
    <w:rsid w:val="000614DC"/>
    <w:rsid w:val="000813D5"/>
    <w:rsid w:val="000A0B77"/>
    <w:rsid w:val="000B72A5"/>
    <w:rsid w:val="000C4F19"/>
    <w:rsid w:val="000C546E"/>
    <w:rsid w:val="000D0BC2"/>
    <w:rsid w:val="00120CC4"/>
    <w:rsid w:val="00124C1C"/>
    <w:rsid w:val="001321B9"/>
    <w:rsid w:val="00135726"/>
    <w:rsid w:val="001502C0"/>
    <w:rsid w:val="0017496D"/>
    <w:rsid w:val="0018324C"/>
    <w:rsid w:val="001906BD"/>
    <w:rsid w:val="001944C4"/>
    <w:rsid w:val="0019578E"/>
    <w:rsid w:val="0019618E"/>
    <w:rsid w:val="001A408E"/>
    <w:rsid w:val="001B5ED4"/>
    <w:rsid w:val="001D6EC9"/>
    <w:rsid w:val="001E47F4"/>
    <w:rsid w:val="00223720"/>
    <w:rsid w:val="00240D2B"/>
    <w:rsid w:val="0025067F"/>
    <w:rsid w:val="002517F8"/>
    <w:rsid w:val="002557E0"/>
    <w:rsid w:val="00256DDE"/>
    <w:rsid w:val="00260B27"/>
    <w:rsid w:val="00276AF8"/>
    <w:rsid w:val="0028263C"/>
    <w:rsid w:val="00292D14"/>
    <w:rsid w:val="00295E46"/>
    <w:rsid w:val="002B5D85"/>
    <w:rsid w:val="002C0E90"/>
    <w:rsid w:val="002E02AE"/>
    <w:rsid w:val="0031725A"/>
    <w:rsid w:val="00321A54"/>
    <w:rsid w:val="00327B0F"/>
    <w:rsid w:val="00335741"/>
    <w:rsid w:val="00374552"/>
    <w:rsid w:val="003811BB"/>
    <w:rsid w:val="00391F52"/>
    <w:rsid w:val="003C03FC"/>
    <w:rsid w:val="003F0751"/>
    <w:rsid w:val="003F3EE3"/>
    <w:rsid w:val="003F7ADA"/>
    <w:rsid w:val="00400FD8"/>
    <w:rsid w:val="00402C57"/>
    <w:rsid w:val="004C0759"/>
    <w:rsid w:val="004C16FB"/>
    <w:rsid w:val="004C1E10"/>
    <w:rsid w:val="004C68F1"/>
    <w:rsid w:val="004D0BED"/>
    <w:rsid w:val="004D793B"/>
    <w:rsid w:val="004E2628"/>
    <w:rsid w:val="00502AF6"/>
    <w:rsid w:val="00505447"/>
    <w:rsid w:val="00507EB1"/>
    <w:rsid w:val="00533F26"/>
    <w:rsid w:val="0053775F"/>
    <w:rsid w:val="005622D8"/>
    <w:rsid w:val="00574553"/>
    <w:rsid w:val="005871A2"/>
    <w:rsid w:val="00594C05"/>
    <w:rsid w:val="005B142E"/>
    <w:rsid w:val="005B27FD"/>
    <w:rsid w:val="005B5A15"/>
    <w:rsid w:val="005C4E46"/>
    <w:rsid w:val="0060719D"/>
    <w:rsid w:val="006126A0"/>
    <w:rsid w:val="0062096B"/>
    <w:rsid w:val="00663569"/>
    <w:rsid w:val="0066613E"/>
    <w:rsid w:val="00693C0F"/>
    <w:rsid w:val="006A613C"/>
    <w:rsid w:val="006B18E0"/>
    <w:rsid w:val="006F4E79"/>
    <w:rsid w:val="006F55D2"/>
    <w:rsid w:val="007227E8"/>
    <w:rsid w:val="00755848"/>
    <w:rsid w:val="0080524C"/>
    <w:rsid w:val="00807398"/>
    <w:rsid w:val="0087740B"/>
    <w:rsid w:val="00885209"/>
    <w:rsid w:val="008919C9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4195E"/>
    <w:rsid w:val="00986D82"/>
    <w:rsid w:val="009936C1"/>
    <w:rsid w:val="009D4290"/>
    <w:rsid w:val="009E171F"/>
    <w:rsid w:val="009F29BF"/>
    <w:rsid w:val="00A2132A"/>
    <w:rsid w:val="00A41A35"/>
    <w:rsid w:val="00A62D0A"/>
    <w:rsid w:val="00AB6698"/>
    <w:rsid w:val="00AB7DA9"/>
    <w:rsid w:val="00AE4162"/>
    <w:rsid w:val="00AF3836"/>
    <w:rsid w:val="00AF577F"/>
    <w:rsid w:val="00AF585E"/>
    <w:rsid w:val="00AF625B"/>
    <w:rsid w:val="00B0547A"/>
    <w:rsid w:val="00B652B9"/>
    <w:rsid w:val="00B824E7"/>
    <w:rsid w:val="00B96488"/>
    <w:rsid w:val="00B96FA8"/>
    <w:rsid w:val="00BC1A92"/>
    <w:rsid w:val="00BC1C03"/>
    <w:rsid w:val="00BD21DB"/>
    <w:rsid w:val="00BE0224"/>
    <w:rsid w:val="00BE362D"/>
    <w:rsid w:val="00C2149F"/>
    <w:rsid w:val="00C33CFB"/>
    <w:rsid w:val="00C41402"/>
    <w:rsid w:val="00C44262"/>
    <w:rsid w:val="00C47ADB"/>
    <w:rsid w:val="00C842AE"/>
    <w:rsid w:val="00C9521F"/>
    <w:rsid w:val="00CC46B6"/>
    <w:rsid w:val="00CD1314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92BFF"/>
    <w:rsid w:val="00DC37DA"/>
    <w:rsid w:val="00DD3C59"/>
    <w:rsid w:val="00DE1969"/>
    <w:rsid w:val="00E15C4C"/>
    <w:rsid w:val="00E20BBC"/>
    <w:rsid w:val="00E40EEF"/>
    <w:rsid w:val="00E43C9E"/>
    <w:rsid w:val="00E43CB9"/>
    <w:rsid w:val="00E71E1C"/>
    <w:rsid w:val="00E90B66"/>
    <w:rsid w:val="00EA748C"/>
    <w:rsid w:val="00EC3011"/>
    <w:rsid w:val="00F304B4"/>
    <w:rsid w:val="00F35D23"/>
    <w:rsid w:val="00F4756F"/>
    <w:rsid w:val="00F5167C"/>
    <w:rsid w:val="00F76DDC"/>
    <w:rsid w:val="00F84F13"/>
    <w:rsid w:val="00FA2B72"/>
    <w:rsid w:val="00FB1961"/>
    <w:rsid w:val="00FB270E"/>
    <w:rsid w:val="00FB3A9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242&amp;dst=173355&amp;field=134&amp;date=21.10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2905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9</cp:revision>
  <cp:lastPrinted>2026-02-04T05:47:00Z</cp:lastPrinted>
  <dcterms:created xsi:type="dcterms:W3CDTF">2025-12-12T07:16:00Z</dcterms:created>
  <dcterms:modified xsi:type="dcterms:W3CDTF">2026-02-05T08:11:00Z</dcterms:modified>
</cp:coreProperties>
</file>