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1B" w:rsidRDefault="00A166DF">
      <w:pPr>
        <w:spacing w:after="0"/>
        <w:ind w:left="540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472E1B" w:rsidRDefault="00A166DF">
      <w:pPr>
        <w:spacing w:after="0"/>
        <w:ind w:left="54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приказу Министерства</w:t>
      </w:r>
    </w:p>
    <w:p w:rsidR="00472E1B" w:rsidRDefault="00A166DF">
      <w:pPr>
        <w:spacing w:after="0"/>
        <w:ind w:left="540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sz w:val="28"/>
        </w:rPr>
        <w:t>имущества Курской области</w:t>
      </w:r>
    </w:p>
    <w:p w:rsidR="00472E1B" w:rsidRDefault="00A166DF">
      <w:pPr>
        <w:spacing w:after="0"/>
        <w:ind w:left="54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«____» ______________  2025 г.</w:t>
      </w:r>
    </w:p>
    <w:p w:rsidR="00472E1B" w:rsidRDefault="00A166DF">
      <w:pPr>
        <w:spacing w:after="0"/>
        <w:ind w:left="540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______________</w:t>
      </w:r>
    </w:p>
    <w:p w:rsidR="00472E1B" w:rsidRDefault="00472E1B">
      <w:pPr>
        <w:spacing w:after="0"/>
        <w:ind w:firstLine="709"/>
        <w:jc w:val="both"/>
        <w:rPr>
          <w:rFonts w:ascii="Times New Roman" w:hAnsi="Times New Roman"/>
          <w:caps/>
          <w:sz w:val="28"/>
        </w:rPr>
      </w:pPr>
    </w:p>
    <w:p w:rsidR="00472E1B" w:rsidRDefault="00472E1B">
      <w:pPr>
        <w:spacing w:after="0"/>
        <w:ind w:firstLine="709"/>
        <w:jc w:val="both"/>
        <w:rPr>
          <w:rFonts w:ascii="Times New Roman" w:hAnsi="Times New Roman"/>
          <w:caps/>
          <w:sz w:val="28"/>
        </w:rPr>
      </w:pPr>
    </w:p>
    <w:p w:rsidR="00472E1B" w:rsidRDefault="00472E1B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72E1B" w:rsidRDefault="00A166DF">
      <w:pPr>
        <w:tabs>
          <w:tab w:val="left" w:pos="1210"/>
        </w:tabs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Методические рекомендации</w:t>
      </w:r>
    </w:p>
    <w:p w:rsidR="00472E1B" w:rsidRDefault="00A166DF">
      <w:pPr>
        <w:tabs>
          <w:tab w:val="left" w:pos="1210"/>
        </w:tabs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организации и проведению совместных закупок охранных услуг для нужд заказчиков Курской области</w:t>
      </w:r>
    </w:p>
    <w:p w:rsidR="00472E1B" w:rsidRDefault="00472E1B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72E1B" w:rsidRDefault="00A166DF">
      <w:pPr>
        <w:pStyle w:val="10"/>
        <w:spacing w:before="0"/>
        <w:ind w:firstLine="7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I. Общие положения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Настоящие Методические рекомендации разработаны в целях определения порядка организации и проведения совместных закупок охранных услуг частных охранных организаций (далее – </w:t>
      </w:r>
      <w:proofErr w:type="spellStart"/>
      <w:r>
        <w:rPr>
          <w:rFonts w:ascii="Times New Roman" w:hAnsi="Times New Roman"/>
          <w:sz w:val="28"/>
        </w:rPr>
        <w:t>ЧОО</w:t>
      </w:r>
      <w:proofErr w:type="spellEnd"/>
      <w:r>
        <w:rPr>
          <w:rFonts w:ascii="Times New Roman" w:hAnsi="Times New Roman"/>
          <w:sz w:val="28"/>
        </w:rPr>
        <w:t>) для нужд заказчиков Курской области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иными нормативными правовыми актами Российской Федерации и Курской области. Перечень нормативно-правовых актов, устанавливающих требования к закупкам охранных услуг, приведен в Приложении 7 к настоящим Методическим рекомендациям.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Методические рекомендации направлены на повышение эффективности закупок услуг </w:t>
      </w:r>
      <w:proofErr w:type="spellStart"/>
      <w:r>
        <w:rPr>
          <w:rFonts w:ascii="Times New Roman" w:hAnsi="Times New Roman"/>
          <w:sz w:val="28"/>
        </w:rPr>
        <w:t>ЧОО</w:t>
      </w:r>
      <w:proofErr w:type="spellEnd"/>
      <w:r>
        <w:rPr>
          <w:rFonts w:ascii="Times New Roman" w:hAnsi="Times New Roman"/>
          <w:sz w:val="28"/>
        </w:rPr>
        <w:t>, обеспечение экономии бюджетных средств, развитие добросовестной конкуренции, предотвращение злоупотреблений в сфере закупок, а также унификацию требований к закупочной документации.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Действие настоящих Методических рекомендаций распространяется на государственных заказчиков Курской области, осуществляющих закупки в соответствии с требованиями Федерального закона № 44-ФЗ, в случаях, предусмотренных законодательством Российской Федерации и Курской области. 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В настоящих Методических рекомендациях используются следующие основные понятия:</w:t>
      </w:r>
    </w:p>
    <w:p w:rsidR="00472E1B" w:rsidRDefault="00A166DF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  <w:t>Заказчики – государственные заказчики Курской области, указанные в постановлении Администрации Курской области от 22.01.2020 № 47-па «О централизации закупок в Курской области», заинтересованные в осуществлении централизованной совместной закупки в соответствии с требованиями Федерального закона № 44-ФЗ.</w:t>
      </w:r>
    </w:p>
    <w:p w:rsidR="00472E1B" w:rsidRDefault="00A166DF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–</w:t>
      </w:r>
      <w:r>
        <w:rPr>
          <w:rFonts w:ascii="Times New Roman" w:hAnsi="Times New Roman"/>
          <w:sz w:val="28"/>
        </w:rPr>
        <w:tab/>
        <w:t>Организатор совместной закупки – Министерство имущества Курской области, уполномоченное на организацию и проведение совместных закупок для заказчиков Курской области в электронной форме в соответствии с законодательством Курской области при сумме начальных (максимальных) цен контрактов 10 миллионов рублей и более, а также областное казенное учреждение «Центр закупок Курской области», уполномоченное на организацию и проведение совместных закупок для заказчиков Курской области в электронной форме в соответствии с законодательством Курской области при сумме начальных (максимальных) цен контрактов менее 10 миллионов рублей.</w:t>
      </w:r>
    </w:p>
    <w:p w:rsidR="00472E1B" w:rsidRDefault="00A166DF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  <w:t xml:space="preserve">Совместная закупка – закупка охранных услуг </w:t>
      </w:r>
      <w:proofErr w:type="spellStart"/>
      <w:r>
        <w:rPr>
          <w:rFonts w:ascii="Times New Roman" w:hAnsi="Times New Roman"/>
          <w:sz w:val="28"/>
        </w:rPr>
        <w:t>ЧОО</w:t>
      </w:r>
      <w:proofErr w:type="spellEnd"/>
      <w:r>
        <w:rPr>
          <w:rFonts w:ascii="Times New Roman" w:hAnsi="Times New Roman"/>
          <w:sz w:val="28"/>
        </w:rPr>
        <w:t>, осуществляемая двумя и более заказчиками на основании соглашения между ними и организатором совместной закупки, в соответствии с положениями статьи 26 Федерального закона № 44-ФЗ и настоящими Методическими рекомендациями. Рекомендуемая форма Соглашения приведена в Приложении 8 к настоящим Методическим рекомендациям. Соглашение заключается путем подписания электронными подписями сторон в РИС «Торги Курской области».</w:t>
      </w:r>
    </w:p>
    <w:p w:rsidR="00472E1B" w:rsidRDefault="00A166DF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ЕИС</w:t>
      </w:r>
      <w:proofErr w:type="spellEnd"/>
      <w:r>
        <w:rPr>
          <w:rFonts w:ascii="Times New Roman" w:hAnsi="Times New Roman"/>
          <w:sz w:val="28"/>
        </w:rPr>
        <w:t xml:space="preserve"> – Единая информационная система в сфере закупок.</w:t>
      </w:r>
    </w:p>
    <w:p w:rsidR="00472E1B" w:rsidRDefault="00A166DF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  <w:t>РИС «Торги Курской области» - Региональная информационная система в сфере закупок для обеспечения нужд Курской области «Торги Курской области».</w:t>
      </w:r>
    </w:p>
    <w:p w:rsidR="00472E1B" w:rsidRDefault="00A166DF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ГРБС</w:t>
      </w:r>
      <w:proofErr w:type="spellEnd"/>
      <w:r>
        <w:rPr>
          <w:rFonts w:ascii="Times New Roman" w:hAnsi="Times New Roman"/>
          <w:sz w:val="28"/>
        </w:rPr>
        <w:t xml:space="preserve"> – главный распорядитель бюджетных средств. </w:t>
      </w:r>
    </w:p>
    <w:p w:rsidR="00472E1B" w:rsidRDefault="00A166DF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НМЦК</w:t>
      </w:r>
      <w:proofErr w:type="spellEnd"/>
      <w:r>
        <w:rPr>
          <w:rFonts w:ascii="Times New Roman" w:hAnsi="Times New Roman"/>
          <w:sz w:val="28"/>
        </w:rPr>
        <w:t xml:space="preserve"> – Начальная (максимальная) цена контракта.</w:t>
      </w:r>
    </w:p>
    <w:p w:rsidR="00472E1B" w:rsidRDefault="00A166DF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  <w:t>Участник закупки – лицо, отвечающее требованиям пункта 4 части 1 статьи 3 Федерального закона № 44-ФЗ.</w:t>
      </w:r>
    </w:p>
    <w:p w:rsidR="00472E1B" w:rsidRDefault="00A166DF">
      <w:pPr>
        <w:tabs>
          <w:tab w:val="left" w:pos="88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proofErr w:type="spellStart"/>
      <w:r>
        <w:rPr>
          <w:rFonts w:ascii="Times New Roman" w:hAnsi="Times New Roman"/>
          <w:sz w:val="28"/>
        </w:rPr>
        <w:t>ЧОО</w:t>
      </w:r>
      <w:proofErr w:type="spellEnd"/>
      <w:r>
        <w:rPr>
          <w:rFonts w:ascii="Times New Roman" w:hAnsi="Times New Roman"/>
          <w:sz w:val="28"/>
        </w:rPr>
        <w:t xml:space="preserve"> – в соответствии с Федеральным законом от 11 марта 1992 года № 2487-1 «О частной детективной и охранной деятельности в Российской федерации» частная охранная организация, специально учрежденная для оказания охранных услуг, зарегистрированная в установленном законом порядке и имеющая лицензию на осуществление частной охранной деятельности;</w:t>
      </w:r>
    </w:p>
    <w:p w:rsidR="00472E1B" w:rsidRDefault="00A166DF">
      <w:pPr>
        <w:tabs>
          <w:tab w:val="left" w:pos="88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понятия, применяемые в настоящих Методических рекомендациях, использованы в значениях, определенных Федеральным законом № 44-ФЗ.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Совместные закупки осуществляются в электронной форме путем проведения конкурентных процедур (аукционов или конкурсов) в соответствии с требованиями Федерального закона № 44-ФЗ и настоящими Методическими рекомендациями.</w:t>
      </w:r>
    </w:p>
    <w:p w:rsidR="00472E1B" w:rsidRDefault="00A166DF">
      <w:pPr>
        <w:pStyle w:val="10"/>
        <w:spacing w:before="0"/>
        <w:ind w:firstLine="709"/>
        <w:jc w:val="center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lastRenderedPageBreak/>
        <w:t>II</w:t>
      </w:r>
      <w:proofErr w:type="spellEnd"/>
      <w:r>
        <w:rPr>
          <w:rFonts w:ascii="Times New Roman" w:hAnsi="Times New Roman"/>
          <w:color w:val="000000"/>
        </w:rPr>
        <w:t>. Организация совместных закупок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Инициатором проведения совместной закупки может выступать любой заказчик, заинтересованный в закупке услуг </w:t>
      </w:r>
      <w:proofErr w:type="spellStart"/>
      <w:r>
        <w:rPr>
          <w:rFonts w:ascii="Times New Roman" w:hAnsi="Times New Roman"/>
          <w:sz w:val="28"/>
        </w:rPr>
        <w:t>ЧОО</w:t>
      </w:r>
      <w:proofErr w:type="spellEnd"/>
      <w:r>
        <w:rPr>
          <w:rFonts w:ascii="Times New Roman" w:hAnsi="Times New Roman"/>
          <w:sz w:val="28"/>
        </w:rPr>
        <w:t>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Заказчики, имеющие потребность в закупке однородных охранных услуг </w:t>
      </w:r>
      <w:proofErr w:type="spellStart"/>
      <w:r>
        <w:rPr>
          <w:rFonts w:ascii="Times New Roman" w:hAnsi="Times New Roman"/>
          <w:sz w:val="28"/>
        </w:rPr>
        <w:t>ЧОО</w:t>
      </w:r>
      <w:proofErr w:type="spellEnd"/>
      <w:r>
        <w:rPr>
          <w:rFonts w:ascii="Times New Roman" w:hAnsi="Times New Roman"/>
          <w:sz w:val="28"/>
        </w:rPr>
        <w:t>, направляют организатору совместной закупки заявки на участие в совместной закупке, содержащие информацию, необходимую для формирования извещения и закупочной документации.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Организатор совместной закупки: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 осуществляет сбор и анализ заявок заказчиков, поступивших в РИС «Торги Курской области»;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  формирует лоты совместной закупки охранных услуг </w:t>
      </w:r>
      <w:proofErr w:type="spellStart"/>
      <w:r>
        <w:rPr>
          <w:rFonts w:ascii="Times New Roman" w:hAnsi="Times New Roman"/>
          <w:sz w:val="28"/>
        </w:rPr>
        <w:t>ЧОО</w:t>
      </w:r>
      <w:proofErr w:type="spellEnd"/>
      <w:r>
        <w:rPr>
          <w:rFonts w:ascii="Times New Roman" w:hAnsi="Times New Roman"/>
          <w:sz w:val="28"/>
        </w:rPr>
        <w:t>;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 размещает в </w:t>
      </w:r>
      <w:proofErr w:type="spellStart"/>
      <w:r>
        <w:rPr>
          <w:rFonts w:ascii="Times New Roman" w:hAnsi="Times New Roman"/>
          <w:sz w:val="28"/>
        </w:rPr>
        <w:t>ЕИС</w:t>
      </w:r>
      <w:proofErr w:type="spellEnd"/>
      <w:r>
        <w:rPr>
          <w:rFonts w:ascii="Times New Roman" w:hAnsi="Times New Roman"/>
          <w:sz w:val="28"/>
        </w:rPr>
        <w:t xml:space="preserve"> закупочную документацию (извещение, техническое задание, проект контракта, требования к участникам, критерии оценки);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 обеспечивает проведение конкурентных процедур в соответствии с требованиями Федерального закона № 44-ФЗ и настоящих Методических рекомендаций;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 обеспечивает участие представителей в работе закупочных комиссий в целях  определения победителя совместной закупки;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оказывает консультационную поддержку заказчикам на этапе заключения контрактов».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Заказчики:</w:t>
      </w:r>
    </w:p>
    <w:p w:rsidR="00472E1B" w:rsidRDefault="00A166DF">
      <w:pPr>
        <w:tabs>
          <w:tab w:val="left" w:pos="99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 в соответствии с постановлением Администрации Курской области от 22.01.2020 № 47-па «О централизации закупок в Курской области» формируют и направляют организатору совместной закупки в РИС «Торги Курской области» заявки на проведение совместной закупки, содержащие достоверную и полную информацию о потребностях. </w:t>
      </w:r>
    </w:p>
    <w:p w:rsidR="00472E1B" w:rsidRDefault="00A166DF">
      <w:pPr>
        <w:tabs>
          <w:tab w:val="left" w:pos="99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формирования заявки на совместную закупку в РИС «Торги Курской области» приведен в Приложении 1 к настоящим Методическим рекомендациям;</w:t>
      </w:r>
    </w:p>
    <w:p w:rsidR="00472E1B" w:rsidRDefault="00A166DF">
      <w:pPr>
        <w:tabs>
          <w:tab w:val="left" w:pos="1440"/>
        </w:tabs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 участвуют в разработке, согласовывают и утверждают закупочную документацию;</w:t>
      </w:r>
    </w:p>
    <w:p w:rsidR="00472E1B" w:rsidRDefault="00A166DF">
      <w:pPr>
        <w:tabs>
          <w:tab w:val="left" w:pos="1440"/>
        </w:tabs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 определяют способ определения поставщика (подрядчика, исполнителя);</w:t>
      </w:r>
    </w:p>
    <w:p w:rsidR="00472E1B" w:rsidRDefault="00A166DF">
      <w:pPr>
        <w:tabs>
          <w:tab w:val="left" w:pos="1440"/>
        </w:tabs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 обеспечивают участие своих представителей в работе закупочных комиссий;</w:t>
      </w:r>
    </w:p>
    <w:p w:rsidR="00472E1B" w:rsidRDefault="00A166DF">
      <w:pPr>
        <w:tabs>
          <w:tab w:val="left" w:pos="1440"/>
        </w:tabs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 заключают контракты с победителем совместной закупки в установленные сроки;</w:t>
      </w:r>
    </w:p>
    <w:p w:rsidR="00472E1B" w:rsidRDefault="00A166DF">
      <w:pPr>
        <w:tabs>
          <w:tab w:val="left" w:pos="1210"/>
          <w:tab w:val="left" w:pos="1440"/>
        </w:tabs>
        <w:spacing w:after="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 осуществляют приемку и оплату услуг в соответствии с условиями контракта.</w:t>
      </w:r>
    </w:p>
    <w:p w:rsidR="00472E1B" w:rsidRDefault="00472E1B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В целях координации действий заказчиков и организатора совместной закупки может быть создана рабочая группа, в состав которой включаются представители заинтересованных сторон, включая заказчиков и главных распорядителей средств областного бюджета.</w:t>
      </w:r>
    </w:p>
    <w:p w:rsidR="00472E1B" w:rsidRDefault="00472E1B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72E1B" w:rsidRDefault="00A166DF">
      <w:pPr>
        <w:pStyle w:val="10"/>
        <w:spacing w:before="0"/>
        <w:ind w:firstLine="709"/>
        <w:jc w:val="center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III</w:t>
      </w:r>
      <w:proofErr w:type="spellEnd"/>
      <w:r>
        <w:rPr>
          <w:rFonts w:ascii="Times New Roman" w:hAnsi="Times New Roman"/>
          <w:color w:val="000000"/>
        </w:rPr>
        <w:t>. Планирование и подготовка к проведению совместной закупки</w:t>
      </w:r>
    </w:p>
    <w:p w:rsidR="00472E1B" w:rsidRDefault="00A166DF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На основании полученных заявок организатор совместной закупки планирует проведение совместной закупки в сроки, предусматривающие выполнение основных этапов закупки (разработка документации, размещение извещения, проведение процедур, заключение контрактов).</w:t>
      </w:r>
    </w:p>
    <w:p w:rsidR="00472E1B" w:rsidRDefault="00A166DF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При формировании лотов совместной закупки организатор руководствуется принципом однородности закупаемых услуг </w:t>
      </w:r>
      <w:proofErr w:type="spellStart"/>
      <w:r>
        <w:rPr>
          <w:sz w:val="28"/>
        </w:rPr>
        <w:t>ЧОО</w:t>
      </w:r>
      <w:proofErr w:type="spellEnd"/>
      <w:r>
        <w:rPr>
          <w:sz w:val="28"/>
        </w:rPr>
        <w:t>. В один лот могут включаться услуги, имеющие сходные характеристики, требования к качеству и объему.</w:t>
      </w:r>
    </w:p>
    <w:p w:rsidR="00472E1B" w:rsidRDefault="00A166DF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Начальная (максимальная) цена контракта (</w:t>
      </w:r>
      <w:proofErr w:type="spellStart"/>
      <w:r>
        <w:rPr>
          <w:sz w:val="28"/>
        </w:rPr>
        <w:t>НМЦК</w:t>
      </w:r>
      <w:proofErr w:type="spellEnd"/>
      <w:r>
        <w:rPr>
          <w:sz w:val="28"/>
        </w:rPr>
        <w:t xml:space="preserve">) для каждого лота совместной закупки определяется как сумма </w:t>
      </w:r>
      <w:proofErr w:type="spellStart"/>
      <w:r>
        <w:rPr>
          <w:sz w:val="28"/>
        </w:rPr>
        <w:t>НМЦК</w:t>
      </w:r>
      <w:proofErr w:type="spellEnd"/>
      <w:r>
        <w:rPr>
          <w:sz w:val="28"/>
        </w:rPr>
        <w:t xml:space="preserve"> отдельных контрактов заказчиков, входящих в данный лот.</w:t>
      </w:r>
    </w:p>
    <w:p w:rsidR="00472E1B" w:rsidRDefault="00A166DF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При определении </w:t>
      </w:r>
      <w:proofErr w:type="spellStart"/>
      <w:r>
        <w:rPr>
          <w:sz w:val="28"/>
        </w:rPr>
        <w:t>НМЦК</w:t>
      </w:r>
      <w:proofErr w:type="spellEnd"/>
      <w:r>
        <w:rPr>
          <w:sz w:val="28"/>
        </w:rPr>
        <w:t xml:space="preserve"> заказчики руководствуются положениями статьи 22 Федерального закона № 44-ФЗ и иными нормативными правовыми актами, регулирующими вопросы ценообразования в сфере закупок, с учетом доведенных лимитов финансирования. При расчете </w:t>
      </w:r>
      <w:proofErr w:type="spellStart"/>
      <w:r>
        <w:rPr>
          <w:sz w:val="28"/>
        </w:rPr>
        <w:t>НМЦК</w:t>
      </w:r>
      <w:proofErr w:type="spellEnd"/>
      <w:r>
        <w:rPr>
          <w:sz w:val="28"/>
        </w:rPr>
        <w:t xml:space="preserve"> на охранные услуги </w:t>
      </w:r>
      <w:proofErr w:type="spellStart"/>
      <w:r>
        <w:rPr>
          <w:sz w:val="28"/>
        </w:rPr>
        <w:t>ЧОО</w:t>
      </w:r>
      <w:proofErr w:type="spellEnd"/>
      <w:r>
        <w:rPr>
          <w:sz w:val="28"/>
        </w:rPr>
        <w:t xml:space="preserve"> заказчики также руководствуются требованиями приказа Федеральной службы войск национальной гвардии РФ от 15 февраля 2021 г. № 45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услуг». Рекомендуемая форма расчета </w:t>
      </w:r>
      <w:proofErr w:type="spellStart"/>
      <w:r>
        <w:rPr>
          <w:sz w:val="28"/>
        </w:rPr>
        <w:t>НМЦК</w:t>
      </w:r>
      <w:proofErr w:type="spellEnd"/>
      <w:r>
        <w:rPr>
          <w:sz w:val="28"/>
        </w:rPr>
        <w:t xml:space="preserve"> приведена в Приложении 6 к настоящим Методическим рекомендациям.</w:t>
      </w:r>
    </w:p>
    <w:p w:rsidR="00472E1B" w:rsidRDefault="00A166DF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Техническое задание на оказание охранных услуг </w:t>
      </w:r>
      <w:proofErr w:type="spellStart"/>
      <w:r>
        <w:rPr>
          <w:sz w:val="28"/>
        </w:rPr>
        <w:t>ЧОО</w:t>
      </w:r>
      <w:proofErr w:type="spellEnd"/>
      <w:r>
        <w:rPr>
          <w:sz w:val="28"/>
        </w:rPr>
        <w:t xml:space="preserve"> должно содержать подробное описание объекта закупки, включая перечень охраняемых объектов, требования к качеству услуг, графику работы охранников, наличию специальных средств и оружия (при необходимости), иные существенные условия оказания услуг. При разработке технического задания рекомендуется учитывать положения национальных стандартов (ГОСТ), устанавливающих требования к охранной деятельности. 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Рекомендуемые формы технических заданий на оказание охранных услуг приведены в  Приложениях 2.1 – 2.5 к настоящим Методическим рекомендациям.</w:t>
      </w:r>
    </w:p>
    <w:p w:rsidR="00472E1B" w:rsidRDefault="00A166DF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 xml:space="preserve">К участникам совместной закупки устанавливаются единые требования, предусмотренные Федеральным законом № 44-ФЗ и иными нормативными правовыми актами. 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участникам закупок услуг </w:t>
      </w:r>
      <w:proofErr w:type="spellStart"/>
      <w:r>
        <w:rPr>
          <w:rFonts w:ascii="Times New Roman" w:hAnsi="Times New Roman"/>
          <w:sz w:val="28"/>
        </w:rPr>
        <w:t>ЧОО</w:t>
      </w:r>
      <w:proofErr w:type="spellEnd"/>
      <w:r>
        <w:rPr>
          <w:rFonts w:ascii="Times New Roman" w:hAnsi="Times New Roman"/>
          <w:sz w:val="28"/>
        </w:rPr>
        <w:t xml:space="preserve"> рекомендуется предъявлять следующие обязательные требования:</w:t>
      </w:r>
    </w:p>
    <w:p w:rsidR="00472E1B" w:rsidRDefault="00A166DF">
      <w:pPr>
        <w:pStyle w:val="ac"/>
        <w:spacing w:after="0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–  наличие действующей лицензии на осуществление частной охранной деятельности; 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 соответствие квалификационным требованиям (наличие опыта оказания аналогичных услуг  в соответствии с постановлением Правительства РФ от 29.12.2021 № 2571);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 отсутствие ограничений, предусмотренных законодательством Российской Федерации (отсутствие в реестре недобросовестных поставщиков, </w:t>
      </w:r>
      <w:proofErr w:type="spellStart"/>
      <w:r>
        <w:rPr>
          <w:rFonts w:ascii="Times New Roman" w:hAnsi="Times New Roman"/>
          <w:sz w:val="28"/>
        </w:rPr>
        <w:t>неприостановление</w:t>
      </w:r>
      <w:proofErr w:type="spellEnd"/>
      <w:r>
        <w:rPr>
          <w:rFonts w:ascii="Times New Roman" w:hAnsi="Times New Roman"/>
          <w:sz w:val="28"/>
        </w:rPr>
        <w:t xml:space="preserve"> деятельности, отсутствие судимости). 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рекомендации к требованиям, предъявляемым к участникам совместных закупок, приведены в Приложении 3 к настоящим Методическим рекомендациям.</w:t>
      </w:r>
    </w:p>
    <w:p w:rsidR="00472E1B" w:rsidRDefault="00A166DF">
      <w:pPr>
        <w:pStyle w:val="a3"/>
        <w:numPr>
          <w:ilvl w:val="1"/>
          <w:numId w:val="1"/>
        </w:numPr>
        <w:spacing w:after="0" w:line="276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Критерии оценки заявок участников совместной закупки устанавливаются заказчиками в соответствии с Положением об оценке заявок на участие в закупке товаров, работ, услуг для обеспечения государственных и муниципальных нужд, утвержденным постановлением Правительства Российской Федерации от 31.12.2021 № 2604 «Об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№ 2369 и признании утратившими силу некоторых актов и отдельных положений некоторых актов Правительства Российской Федерации». При оценке заявок рекомендуется учитывать следующие критерии: цена контракта, квалификация участников, опыт работы,  качество предлагаемых услуг. В качестве критерия оценки деловой репутации участников закупок при проведении электронных конкурсов рекомендуется применять </w:t>
      </w:r>
      <w:proofErr w:type="spellStart"/>
      <w:r>
        <w:rPr>
          <w:sz w:val="28"/>
        </w:rPr>
        <w:t>ЭКГ-рейтинг</w:t>
      </w:r>
      <w:proofErr w:type="spellEnd"/>
      <w:r>
        <w:rPr>
          <w:sz w:val="28"/>
        </w:rPr>
        <w:t xml:space="preserve"> (Экология, Кадры, Государство), а также иные критерии, предусмотренные действующим законодательством о контрактной системе. Рекомендуемая форма порядка оцен</w:t>
      </w:r>
      <w:r w:rsidR="00480A28">
        <w:rPr>
          <w:sz w:val="28"/>
        </w:rPr>
        <w:t>ки заявок приведена в Приложениях</w:t>
      </w:r>
      <w:r>
        <w:rPr>
          <w:sz w:val="28"/>
        </w:rPr>
        <w:t xml:space="preserve"> 5</w:t>
      </w:r>
      <w:r w:rsidR="00480A28">
        <w:rPr>
          <w:sz w:val="28"/>
        </w:rPr>
        <w:t xml:space="preserve"> - 5.2</w:t>
      </w:r>
      <w:r>
        <w:rPr>
          <w:sz w:val="28"/>
        </w:rPr>
        <w:t xml:space="preserve"> к настоящим Методическим рекомендациям.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3.8. Проект контракта на оказание услуг </w:t>
      </w:r>
      <w:proofErr w:type="spellStart"/>
      <w:r>
        <w:rPr>
          <w:rFonts w:ascii="Times New Roman" w:hAnsi="Times New Roman"/>
          <w:sz w:val="28"/>
        </w:rPr>
        <w:t>ЧОО</w:t>
      </w:r>
      <w:proofErr w:type="spellEnd"/>
      <w:r>
        <w:rPr>
          <w:rFonts w:ascii="Times New Roman" w:hAnsi="Times New Roman"/>
          <w:sz w:val="28"/>
        </w:rPr>
        <w:t xml:space="preserve"> заказчикам рекомендуется разрабатывать в соответствии с требованиями Федерального закона № 44-ФЗ и типовым контрактом, утвержденным Приказом </w:t>
      </w:r>
      <w:proofErr w:type="spellStart"/>
      <w:r>
        <w:rPr>
          <w:rFonts w:ascii="Times New Roman" w:hAnsi="Times New Roman"/>
          <w:sz w:val="28"/>
        </w:rPr>
        <w:t>Росгвардии</w:t>
      </w:r>
      <w:proofErr w:type="spellEnd"/>
      <w:r>
        <w:rPr>
          <w:rFonts w:ascii="Times New Roman" w:hAnsi="Times New Roman"/>
          <w:sz w:val="28"/>
        </w:rPr>
        <w:t xml:space="preserve"> от 01.06.2020 № 149 </w:t>
      </w:r>
      <w:r>
        <w:rPr>
          <w:rFonts w:ascii="Times New Roman" w:hAnsi="Times New Roman"/>
          <w:sz w:val="28"/>
        </w:rPr>
        <w:lastRenderedPageBreak/>
        <w:t>(при наличии). В контракте должны быть определены: предмет контракта, объем услуг, сроки оказания услуг, права и обязанности сторон, ответственность сторон, порядок приемки и оплаты услуг, иные существенные условия.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Информация о проведении совместных закупок (планы-графики, извещения, документация, протоколы) подлежит размещению в </w:t>
      </w:r>
      <w:proofErr w:type="spellStart"/>
      <w:r>
        <w:rPr>
          <w:rFonts w:ascii="Times New Roman" w:hAnsi="Times New Roman"/>
          <w:sz w:val="28"/>
        </w:rPr>
        <w:t>ЕИС</w:t>
      </w:r>
      <w:proofErr w:type="spellEnd"/>
      <w:r>
        <w:rPr>
          <w:rFonts w:ascii="Times New Roman" w:hAnsi="Times New Roman"/>
          <w:sz w:val="28"/>
        </w:rPr>
        <w:t xml:space="preserve"> и РИС «Торги Курской области».</w:t>
      </w:r>
    </w:p>
    <w:p w:rsidR="00472E1B" w:rsidRDefault="00472E1B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72E1B" w:rsidRDefault="00A166DF">
      <w:pPr>
        <w:pStyle w:val="10"/>
        <w:spacing w:before="0"/>
        <w:ind w:firstLine="709"/>
        <w:jc w:val="center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IV</w:t>
      </w:r>
      <w:proofErr w:type="spellEnd"/>
      <w:r>
        <w:rPr>
          <w:rFonts w:ascii="Times New Roman" w:hAnsi="Times New Roman"/>
          <w:color w:val="000000"/>
        </w:rPr>
        <w:t>. Проведение конкурентных процедур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Выбор способа определения поставщика (подрядчика, исполнителя) осуществляется в соответствии с положениями Федерального закона № 44-ФЗ и с учетом особенностей объекта закупки. При выборе способа закупки учитываются стоимость закупаемых услуг, требования к качеству услуг, необходимость учета квалификации участников, иные факторы, предусмотренные действующим законодательством о контрактной системе.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Формирование первоначальной заявки на проведение совместной закупки в РИС «Торги Курской области» осуществляет заказчик, определенный </w:t>
      </w:r>
      <w:proofErr w:type="spellStart"/>
      <w:r>
        <w:rPr>
          <w:rFonts w:ascii="Times New Roman" w:hAnsi="Times New Roman"/>
          <w:sz w:val="28"/>
        </w:rPr>
        <w:t>ГРБС</w:t>
      </w:r>
      <w:proofErr w:type="spellEnd"/>
      <w:r>
        <w:rPr>
          <w:rFonts w:ascii="Times New Roman" w:hAnsi="Times New Roman"/>
          <w:sz w:val="28"/>
        </w:rPr>
        <w:t xml:space="preserve"> в качестве ответственного из числа подведомственных ему организаций. Остальные заказчики последовательно присоединяются к первоначальной заявке в РИС «Торги Курской области» в соответствии с порядком формирования заявки на совместную закупку.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Закупочная комиссия, сформированная организатором совместной закупки, осуществляет рассмотрение и оценку заявок участников в соответствии с требованиями Федерального закона № 44-ФЗ и закупочной документации.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Победителем совместной закупки признается участник, заявка которого соответствует требованиям извещения об осуществлении закупки и закупочной документации и содержит наилучшие условия исполнения контракта.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4.5. Результаты определения поставщика (подрядчика, исполнителя) оформляются протоколом, который размещается в </w:t>
      </w:r>
      <w:proofErr w:type="spellStart"/>
      <w:r>
        <w:rPr>
          <w:rFonts w:ascii="Times New Roman" w:hAnsi="Times New Roman"/>
          <w:sz w:val="28"/>
        </w:rPr>
        <w:t>ЕИС</w:t>
      </w:r>
      <w:proofErr w:type="spellEnd"/>
      <w:r>
        <w:rPr>
          <w:rFonts w:ascii="Times New Roman" w:hAnsi="Times New Roman"/>
          <w:sz w:val="28"/>
        </w:rPr>
        <w:t>.</w:t>
      </w:r>
    </w:p>
    <w:p w:rsidR="00472E1B" w:rsidRDefault="00472E1B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72E1B" w:rsidRDefault="00A166DF">
      <w:pPr>
        <w:pStyle w:val="10"/>
        <w:spacing w:before="0"/>
        <w:ind w:firstLine="7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V. Заключение и исполнение контракта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Контракт на оказание услуг </w:t>
      </w:r>
      <w:proofErr w:type="spellStart"/>
      <w:r>
        <w:rPr>
          <w:rFonts w:ascii="Times New Roman" w:hAnsi="Times New Roman"/>
          <w:sz w:val="28"/>
        </w:rPr>
        <w:t>ЧОО</w:t>
      </w:r>
      <w:proofErr w:type="spellEnd"/>
      <w:r>
        <w:rPr>
          <w:rFonts w:ascii="Times New Roman" w:hAnsi="Times New Roman"/>
          <w:sz w:val="28"/>
        </w:rPr>
        <w:t xml:space="preserve"> заключается с победителем совместной закупки в сроки, установленные Федеральным законом № 44-ФЗ.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Контракт заключается каждым заказчиком, участвовавшим в совместной закупке, на условиях, указанных в извещении о проведении закупки и в заявке победителя.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5.3. Исполнение контракта обеспечивается в соответствии с требованиями статьи 96 Федерального закона № 44-ФЗ.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Приемка и оплата оказанных услуг осуществляется в порядке, установленном контрактом и Федеральным законом № 44-ФЗ. Заказчики осуществляют приемку услуг в части, касающейся исполнения обязательств в рамках заключенного ими контракта (в части обязательств перед каждым конкретным заказчиком).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Ответственность сторон за неисполнение или ненадлежащее исполнение обязательств по контракту определяется в соответствии с законодательством Российской Федерации и условиями контракта.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5.6. Расторжение контракта допускается по основаниям, предусмотренным гражданским законодательством и Федеральным законом № 44-ФЗ.</w:t>
      </w:r>
    </w:p>
    <w:p w:rsidR="00472E1B" w:rsidRDefault="00472E1B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72E1B" w:rsidRDefault="00A166DF">
      <w:pPr>
        <w:pStyle w:val="10"/>
        <w:spacing w:before="0"/>
        <w:ind w:firstLine="709"/>
        <w:jc w:val="center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VI</w:t>
      </w:r>
      <w:proofErr w:type="spellEnd"/>
      <w:r>
        <w:rPr>
          <w:rFonts w:ascii="Times New Roman" w:hAnsi="Times New Roman"/>
          <w:color w:val="000000"/>
        </w:rPr>
        <w:t>. Ответственность сторон</w:t>
      </w: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Организатор и заказчики совместной закупки несут ответственность, предусмотренную действующим законодательством о контрактной системе.</w:t>
      </w:r>
    </w:p>
    <w:p w:rsidR="00472E1B" w:rsidRDefault="00472E1B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:rsidR="00472E1B" w:rsidRDefault="00A166DF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Приложения</w:t>
      </w:r>
      <w:r>
        <w:rPr>
          <w:rFonts w:ascii="Times New Roman" w:hAnsi="Times New Roman"/>
          <w:sz w:val="28"/>
        </w:rPr>
        <w:t>:</w:t>
      </w:r>
    </w:p>
    <w:p w:rsidR="00472E1B" w:rsidRDefault="00472E1B">
      <w:pPr>
        <w:tabs>
          <w:tab w:val="left" w:pos="1210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72E1B" w:rsidRDefault="00A166DF">
      <w:pPr>
        <w:spacing w:after="0"/>
        <w:ind w:left="2880" w:hanging="28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1. </w:t>
      </w:r>
      <w:r>
        <w:rPr>
          <w:rFonts w:ascii="Times New Roman" w:hAnsi="Times New Roman"/>
          <w:sz w:val="28"/>
        </w:rPr>
        <w:tab/>
        <w:t>Порядок формирования заявки на совместную закупку в РИС «Торги Курской области».</w:t>
      </w:r>
    </w:p>
    <w:p w:rsidR="00472E1B" w:rsidRDefault="00A166DF">
      <w:pPr>
        <w:spacing w:after="0"/>
        <w:ind w:left="2880" w:hanging="28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Приложения 2.1 – 2.5. </w:t>
      </w:r>
      <w:r>
        <w:rPr>
          <w:rFonts w:ascii="Times New Roman" w:hAnsi="Times New Roman"/>
          <w:sz w:val="28"/>
        </w:rPr>
        <w:tab/>
        <w:t xml:space="preserve">Рекомендуемые формы технических заданий на оказание охранных услуг (для организаций в сфере культуры (2.1.), социальной защиты (2.2), образования (2.3.), спорта (2.4), здравоохранения (2.5).  </w:t>
      </w:r>
    </w:p>
    <w:p w:rsidR="00472E1B" w:rsidRDefault="00A166DF">
      <w:pPr>
        <w:spacing w:after="0"/>
        <w:ind w:left="2880" w:hanging="28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3.</w:t>
      </w:r>
      <w:r>
        <w:rPr>
          <w:rFonts w:ascii="Times New Roman" w:hAnsi="Times New Roman"/>
          <w:sz w:val="28"/>
        </w:rPr>
        <w:tab/>
        <w:t>Дополнительные рекомендации к требованиям, предъявляемым к участникам совместной закупки.</w:t>
      </w:r>
    </w:p>
    <w:p w:rsidR="00472E1B" w:rsidRDefault="00A166DF">
      <w:pPr>
        <w:spacing w:after="0"/>
        <w:ind w:left="2880" w:hanging="28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4.</w:t>
      </w:r>
      <w:r>
        <w:rPr>
          <w:rFonts w:ascii="Times New Roman" w:hAnsi="Times New Roman"/>
          <w:sz w:val="28"/>
        </w:rPr>
        <w:tab/>
        <w:t>Рекомендуемая форма требований к содержанию, составу заявки на участие  в закупке и инструкция по ее заполнению</w:t>
      </w:r>
    </w:p>
    <w:p w:rsidR="00472E1B" w:rsidRDefault="00A166DF">
      <w:pPr>
        <w:spacing w:after="0"/>
        <w:ind w:left="2880" w:hanging="28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5 – 5.2.</w:t>
      </w:r>
      <w:r>
        <w:rPr>
          <w:rFonts w:ascii="Times New Roman" w:hAnsi="Times New Roman"/>
          <w:sz w:val="28"/>
        </w:rPr>
        <w:tab/>
        <w:t>Рекомендуем</w:t>
      </w:r>
      <w:r w:rsidR="00480A28"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форм</w:t>
      </w:r>
      <w:r w:rsidR="00480A28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порядка оценки заявок.</w:t>
      </w:r>
    </w:p>
    <w:p w:rsidR="00472E1B" w:rsidRDefault="00A166DF">
      <w:pPr>
        <w:spacing w:after="0"/>
        <w:ind w:left="2880" w:hanging="28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6.</w:t>
      </w:r>
      <w:r>
        <w:rPr>
          <w:rFonts w:ascii="Times New Roman" w:hAnsi="Times New Roman"/>
          <w:sz w:val="28"/>
        </w:rPr>
        <w:tab/>
        <w:t>Рекомендуемая форма расчета начальной (максимальной) цены контракта (</w:t>
      </w:r>
      <w:proofErr w:type="spellStart"/>
      <w:r>
        <w:rPr>
          <w:rFonts w:ascii="Times New Roman" w:hAnsi="Times New Roman"/>
          <w:sz w:val="28"/>
        </w:rPr>
        <w:t>НМЦК</w:t>
      </w:r>
      <w:proofErr w:type="spellEnd"/>
      <w:r>
        <w:rPr>
          <w:rFonts w:ascii="Times New Roman" w:hAnsi="Times New Roman"/>
          <w:sz w:val="28"/>
        </w:rPr>
        <w:t>).</w:t>
      </w:r>
    </w:p>
    <w:p w:rsidR="00472E1B" w:rsidRDefault="00A166DF">
      <w:pPr>
        <w:spacing w:after="0"/>
        <w:ind w:left="2880" w:hanging="28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7.</w:t>
      </w:r>
      <w:r>
        <w:rPr>
          <w:rFonts w:ascii="Times New Roman" w:hAnsi="Times New Roman"/>
          <w:sz w:val="28"/>
        </w:rPr>
        <w:tab/>
        <w:t>Перечень нормативно-правовых актов, устанавливающих общие требования к закупкам охранных услуг для государственных и муниципальных нужд</w:t>
      </w:r>
    </w:p>
    <w:p w:rsidR="00472E1B" w:rsidRDefault="00A166DF">
      <w:pPr>
        <w:spacing w:after="0"/>
        <w:ind w:left="2880" w:hanging="28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8.</w:t>
      </w:r>
      <w:r>
        <w:rPr>
          <w:rFonts w:ascii="Times New Roman" w:hAnsi="Times New Roman"/>
          <w:sz w:val="28"/>
        </w:rPr>
        <w:tab/>
        <w:t>Рекомендуемая форма соглашения о проведении совместной закупки.</w:t>
      </w:r>
    </w:p>
    <w:p w:rsidR="00472E1B" w:rsidRDefault="00472E1B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sectPr w:rsidR="00472E1B" w:rsidSect="00472E1B">
      <w:footerReference w:type="default" r:id="rId7"/>
      <w:pgSz w:w="11906" w:h="16838"/>
      <w:pgMar w:top="1134" w:right="1134" w:bottom="1134" w:left="1134" w:header="544" w:footer="3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E1B" w:rsidRDefault="00472E1B" w:rsidP="00472E1B">
      <w:pPr>
        <w:spacing w:after="0" w:line="240" w:lineRule="auto"/>
      </w:pPr>
      <w:r>
        <w:separator/>
      </w:r>
    </w:p>
  </w:endnote>
  <w:endnote w:type="continuationSeparator" w:id="0">
    <w:p w:rsidR="00472E1B" w:rsidRDefault="00472E1B" w:rsidP="0047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1B" w:rsidRDefault="0060787D">
    <w:pPr>
      <w:pStyle w:val="a9"/>
      <w:jc w:val="right"/>
      <w:rPr>
        <w:sz w:val="21"/>
      </w:rPr>
    </w:pPr>
    <w:r>
      <w:rPr>
        <w:rFonts w:ascii="Times New Roman" w:hAnsi="Times New Roman"/>
        <w:sz w:val="21"/>
      </w:rPr>
      <w:fldChar w:fldCharType="begin"/>
    </w:r>
    <w:r w:rsidR="00A166DF">
      <w:rPr>
        <w:rFonts w:ascii="Times New Roman" w:hAnsi="Times New Roman"/>
        <w:sz w:val="21"/>
      </w:rPr>
      <w:instrText xml:space="preserve">PAGE </w:instrText>
    </w:r>
    <w:r>
      <w:rPr>
        <w:rFonts w:ascii="Times New Roman" w:hAnsi="Times New Roman"/>
        <w:sz w:val="21"/>
      </w:rPr>
      <w:fldChar w:fldCharType="separate"/>
    </w:r>
    <w:r w:rsidR="00480A28">
      <w:rPr>
        <w:rFonts w:ascii="Times New Roman" w:hAnsi="Times New Roman"/>
        <w:noProof/>
        <w:sz w:val="21"/>
      </w:rPr>
      <w:t>7</w:t>
    </w:r>
    <w:r>
      <w:rPr>
        <w:rFonts w:ascii="Times New Roman" w:hAnsi="Times New Roman"/>
        <w:sz w:val="21"/>
      </w:rPr>
      <w:fldChar w:fldCharType="end"/>
    </w:r>
  </w:p>
  <w:p w:rsidR="00472E1B" w:rsidRDefault="00472E1B">
    <w:pPr>
      <w:pStyle w:val="a9"/>
      <w:rPr>
        <w:sz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E1B" w:rsidRDefault="00472E1B" w:rsidP="00472E1B">
      <w:pPr>
        <w:spacing w:after="0" w:line="240" w:lineRule="auto"/>
      </w:pPr>
      <w:r>
        <w:separator/>
      </w:r>
    </w:p>
  </w:footnote>
  <w:footnote w:type="continuationSeparator" w:id="0">
    <w:p w:rsidR="00472E1B" w:rsidRDefault="00472E1B" w:rsidP="00472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B6585"/>
    <w:multiLevelType w:val="multilevel"/>
    <w:tmpl w:val="F6A23B70"/>
    <w:lvl w:ilvl="0">
      <w:start w:val="3"/>
      <w:numFmt w:val="decimal"/>
      <w:lvlText w:val="%1."/>
      <w:lvlJc w:val="left"/>
      <w:pPr>
        <w:widowControl/>
        <w:ind w:left="435" w:hanging="435"/>
      </w:pPr>
    </w:lvl>
    <w:lvl w:ilvl="1">
      <w:start w:val="1"/>
      <w:numFmt w:val="decimal"/>
      <w:lvlText w:val="%1.%2."/>
      <w:lvlJc w:val="left"/>
      <w:pPr>
        <w:widowControl/>
        <w:ind w:left="1620" w:hanging="720"/>
      </w:pPr>
    </w:lvl>
    <w:lvl w:ilvl="2">
      <w:start w:val="1"/>
      <w:numFmt w:val="decimal"/>
      <w:lvlText w:val="%1.%2.%3."/>
      <w:lvlJc w:val="left"/>
      <w:pPr>
        <w:widowControl/>
        <w:ind w:left="2520" w:hanging="720"/>
      </w:pPr>
    </w:lvl>
    <w:lvl w:ilvl="3">
      <w:start w:val="1"/>
      <w:numFmt w:val="decimal"/>
      <w:lvlText w:val="%1.%2.%3.%4."/>
      <w:lvlJc w:val="left"/>
      <w:pPr>
        <w:widowControl/>
        <w:ind w:left="3780" w:hanging="1080"/>
      </w:pPr>
    </w:lvl>
    <w:lvl w:ilvl="4">
      <w:start w:val="1"/>
      <w:numFmt w:val="decimal"/>
      <w:lvlText w:val="%1.%2.%3.%4.%5."/>
      <w:lvlJc w:val="left"/>
      <w:pPr>
        <w:widowControl/>
        <w:ind w:left="4680" w:hanging="1080"/>
      </w:pPr>
    </w:lvl>
    <w:lvl w:ilvl="5">
      <w:start w:val="1"/>
      <w:numFmt w:val="decimal"/>
      <w:lvlText w:val="%1.%2.%3.%4.%5.%6."/>
      <w:lvlJc w:val="left"/>
      <w:pPr>
        <w:widowControl/>
        <w:ind w:left="5940" w:hanging="1440"/>
      </w:pPr>
    </w:lvl>
    <w:lvl w:ilvl="6">
      <w:start w:val="1"/>
      <w:numFmt w:val="decimal"/>
      <w:lvlText w:val="%1.%2.%3.%4.%5.%6.%7."/>
      <w:lvlJc w:val="left"/>
      <w:pPr>
        <w:widowControl/>
        <w:ind w:left="7200" w:hanging="1800"/>
      </w:pPr>
    </w:lvl>
    <w:lvl w:ilvl="7">
      <w:start w:val="1"/>
      <w:numFmt w:val="decimal"/>
      <w:lvlText w:val="%1.%2.%3.%4.%5.%6.%7.%8."/>
      <w:lvlJc w:val="left"/>
      <w:pPr>
        <w:widowControl/>
        <w:ind w:left="810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93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E1B"/>
    <w:rsid w:val="00472E1B"/>
    <w:rsid w:val="00480A28"/>
    <w:rsid w:val="0060787D"/>
    <w:rsid w:val="00A1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72E1B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72E1B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rsid w:val="00472E1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72E1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72E1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72E1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72E1B"/>
    <w:rPr>
      <w:rFonts w:ascii="Calibri" w:hAnsi="Calibri"/>
    </w:rPr>
  </w:style>
  <w:style w:type="paragraph" w:styleId="21">
    <w:name w:val="toc 2"/>
    <w:next w:val="a"/>
    <w:link w:val="22"/>
    <w:uiPriority w:val="39"/>
    <w:rsid w:val="00472E1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72E1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72E1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72E1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72E1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72E1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72E1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72E1B"/>
    <w:rPr>
      <w:rFonts w:ascii="XO Thames" w:hAnsi="XO Thames"/>
      <w:sz w:val="28"/>
    </w:rPr>
  </w:style>
  <w:style w:type="paragraph" w:customStyle="1" w:styleId="12">
    <w:name w:val="Верхний колонтитул Знак1"/>
    <w:basedOn w:val="13"/>
    <w:link w:val="14"/>
    <w:rsid w:val="00472E1B"/>
    <w:rPr>
      <w:rFonts w:ascii="Calibri" w:hAnsi="Calibri"/>
    </w:rPr>
  </w:style>
  <w:style w:type="character" w:customStyle="1" w:styleId="14">
    <w:name w:val="Верхний колонтитул Знак1"/>
    <w:basedOn w:val="a0"/>
    <w:link w:val="12"/>
    <w:rsid w:val="00472E1B"/>
    <w:rPr>
      <w:rFonts w:ascii="Calibri" w:hAnsi="Calibri"/>
    </w:rPr>
  </w:style>
  <w:style w:type="paragraph" w:customStyle="1" w:styleId="Endnote">
    <w:name w:val="Endnote"/>
    <w:link w:val="Endnote0"/>
    <w:rsid w:val="00472E1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72E1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72E1B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472E1B"/>
    <w:pPr>
      <w:spacing w:after="12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4">
    <w:name w:val="Абзац списка Знак"/>
    <w:basedOn w:val="1"/>
    <w:link w:val="a3"/>
    <w:rsid w:val="00472E1B"/>
    <w:rPr>
      <w:rFonts w:ascii="Times New Roman" w:hAnsi="Times New Roman"/>
      <w:sz w:val="24"/>
    </w:rPr>
  </w:style>
  <w:style w:type="paragraph" w:customStyle="1" w:styleId="a5">
    <w:name w:val="НПА"/>
    <w:basedOn w:val="a3"/>
    <w:link w:val="a6"/>
    <w:rsid w:val="00472E1B"/>
    <w:pPr>
      <w:tabs>
        <w:tab w:val="left" w:pos="720"/>
      </w:tabs>
      <w:spacing w:after="0"/>
      <w:ind w:left="0" w:firstLine="709"/>
      <w:jc w:val="both"/>
    </w:pPr>
    <w:rPr>
      <w:sz w:val="28"/>
    </w:rPr>
  </w:style>
  <w:style w:type="character" w:customStyle="1" w:styleId="a6">
    <w:name w:val="НПА"/>
    <w:basedOn w:val="a4"/>
    <w:link w:val="a5"/>
    <w:rsid w:val="00472E1B"/>
    <w:rPr>
      <w:sz w:val="28"/>
    </w:rPr>
  </w:style>
  <w:style w:type="paragraph" w:styleId="31">
    <w:name w:val="toc 3"/>
    <w:next w:val="a"/>
    <w:link w:val="32"/>
    <w:uiPriority w:val="39"/>
    <w:rsid w:val="00472E1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72E1B"/>
    <w:rPr>
      <w:rFonts w:ascii="XO Thames" w:hAnsi="XO Thames"/>
      <w:sz w:val="28"/>
    </w:rPr>
  </w:style>
  <w:style w:type="paragraph" w:styleId="a7">
    <w:name w:val="header"/>
    <w:basedOn w:val="a"/>
    <w:link w:val="a8"/>
    <w:rsid w:val="00472E1B"/>
    <w:pPr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a8">
    <w:name w:val="Верхний колонтитул Знак"/>
    <w:basedOn w:val="1"/>
    <w:link w:val="a7"/>
    <w:rsid w:val="00472E1B"/>
    <w:rPr>
      <w:rFonts w:asciiTheme="minorHAnsi" w:hAnsiTheme="minorHAnsi"/>
    </w:rPr>
  </w:style>
  <w:style w:type="character" w:customStyle="1" w:styleId="50">
    <w:name w:val="Заголовок 5 Знак"/>
    <w:link w:val="5"/>
    <w:rsid w:val="00472E1B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72E1B"/>
    <w:rPr>
      <w:rFonts w:asciiTheme="majorHAnsi" w:hAnsiTheme="majorHAnsi"/>
      <w:b/>
      <w:color w:val="365F91" w:themeColor="accent1" w:themeShade="BF"/>
      <w:sz w:val="28"/>
    </w:rPr>
  </w:style>
  <w:style w:type="paragraph" w:styleId="a9">
    <w:name w:val="footer"/>
    <w:basedOn w:val="a"/>
    <w:link w:val="aa"/>
    <w:rsid w:val="0047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472E1B"/>
  </w:style>
  <w:style w:type="paragraph" w:customStyle="1" w:styleId="15">
    <w:name w:val="Гиперссылка1"/>
    <w:link w:val="ab"/>
    <w:rsid w:val="00472E1B"/>
    <w:rPr>
      <w:color w:val="0000FF"/>
      <w:u w:val="single"/>
    </w:rPr>
  </w:style>
  <w:style w:type="character" w:styleId="ab">
    <w:name w:val="Hyperlink"/>
    <w:link w:val="15"/>
    <w:rsid w:val="00472E1B"/>
    <w:rPr>
      <w:color w:val="0000FF"/>
      <w:u w:val="single"/>
    </w:rPr>
  </w:style>
  <w:style w:type="paragraph" w:customStyle="1" w:styleId="Footnote">
    <w:name w:val="Footnote"/>
    <w:link w:val="Footnote0"/>
    <w:rsid w:val="00472E1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72E1B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472E1B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472E1B"/>
    <w:rPr>
      <w:rFonts w:ascii="XO Thames" w:hAnsi="XO Thames"/>
      <w:b/>
      <w:sz w:val="28"/>
    </w:rPr>
  </w:style>
  <w:style w:type="paragraph" w:customStyle="1" w:styleId="13">
    <w:name w:val="Основной шрифт абзаца1"/>
    <w:link w:val="HeaderandFooter"/>
    <w:rsid w:val="00472E1B"/>
  </w:style>
  <w:style w:type="paragraph" w:customStyle="1" w:styleId="HeaderandFooter">
    <w:name w:val="Header and Footer"/>
    <w:link w:val="HeaderandFooter0"/>
    <w:rsid w:val="00472E1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72E1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72E1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72E1B"/>
    <w:rPr>
      <w:rFonts w:ascii="XO Thames" w:hAnsi="XO Thames"/>
      <w:sz w:val="28"/>
    </w:rPr>
  </w:style>
  <w:style w:type="paragraph" w:styleId="ac">
    <w:name w:val="Normal (Web)"/>
    <w:basedOn w:val="a"/>
    <w:link w:val="ad"/>
    <w:rsid w:val="00472E1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sid w:val="00472E1B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472E1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72E1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72E1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72E1B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472E1B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472E1B"/>
    <w:rPr>
      <w:rFonts w:ascii="XO Thames" w:hAnsi="XO Thames"/>
      <w:i/>
      <w:sz w:val="24"/>
    </w:rPr>
  </w:style>
  <w:style w:type="paragraph" w:customStyle="1" w:styleId="af0">
    <w:name w:val="Основной письмо"/>
    <w:link w:val="af1"/>
    <w:rsid w:val="00472E1B"/>
    <w:pPr>
      <w:tabs>
        <w:tab w:val="left" w:pos="9360"/>
      </w:tabs>
      <w:spacing w:after="80" w:line="240" w:lineRule="auto"/>
      <w:ind w:left="5400"/>
    </w:pPr>
    <w:rPr>
      <w:rFonts w:ascii="Times New Roman" w:hAnsi="Times New Roman"/>
      <w:sz w:val="28"/>
    </w:rPr>
  </w:style>
  <w:style w:type="character" w:customStyle="1" w:styleId="af1">
    <w:name w:val="Основной письмо"/>
    <w:link w:val="af0"/>
    <w:rsid w:val="00472E1B"/>
    <w:rPr>
      <w:rFonts w:ascii="Times New Roman" w:hAnsi="Times New Roman"/>
      <w:sz w:val="28"/>
    </w:rPr>
  </w:style>
  <w:style w:type="paragraph" w:styleId="af2">
    <w:name w:val="Title"/>
    <w:next w:val="a"/>
    <w:link w:val="af3"/>
    <w:uiPriority w:val="10"/>
    <w:qFormat/>
    <w:rsid w:val="00472E1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sid w:val="00472E1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72E1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72E1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2155</Words>
  <Characters>12287</Characters>
  <Application>Microsoft Office Word</Application>
  <DocSecurity>0</DocSecurity>
  <Lines>102</Lines>
  <Paragraphs>28</Paragraphs>
  <ScaleCrop>false</ScaleCrop>
  <Company/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mzak1</cp:lastModifiedBy>
  <cp:revision>3</cp:revision>
  <dcterms:created xsi:type="dcterms:W3CDTF">2025-08-19T13:02:00Z</dcterms:created>
  <dcterms:modified xsi:type="dcterms:W3CDTF">2025-08-28T09:40:00Z</dcterms:modified>
</cp:coreProperties>
</file>