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88" w:rsidRPr="00195C88" w:rsidRDefault="00195C88" w:rsidP="00237985">
      <w:pPr>
        <w:spacing w:after="0" w:line="276" w:lineRule="auto"/>
        <w:ind w:left="517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95C88" w:rsidRPr="00195C88" w:rsidRDefault="00195C88" w:rsidP="00237985">
      <w:pPr>
        <w:spacing w:after="0" w:line="276" w:lineRule="auto"/>
        <w:ind w:left="5170"/>
        <w:jc w:val="center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195C88" w:rsidRPr="00195C88" w:rsidRDefault="00195C88" w:rsidP="00237985">
      <w:pPr>
        <w:spacing w:after="0" w:line="276" w:lineRule="auto"/>
        <w:ind w:left="517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имущества Курской области</w:t>
      </w:r>
    </w:p>
    <w:p w:rsidR="00195C88" w:rsidRPr="00195C88" w:rsidRDefault="00195C88" w:rsidP="00237985">
      <w:pPr>
        <w:spacing w:after="0" w:line="276" w:lineRule="auto"/>
        <w:ind w:left="5170"/>
        <w:jc w:val="center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от «____» ______________  2025 г.</w:t>
      </w:r>
    </w:p>
    <w:p w:rsidR="00195C88" w:rsidRPr="00195C88" w:rsidRDefault="00195C88" w:rsidP="00237985">
      <w:pPr>
        <w:spacing w:after="0" w:line="276" w:lineRule="auto"/>
        <w:ind w:left="5170"/>
        <w:jc w:val="center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№ ______________</w:t>
      </w:r>
    </w:p>
    <w:p w:rsidR="00E20B6E" w:rsidRPr="00195C88" w:rsidRDefault="00E20B6E" w:rsidP="0023798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6E" w:rsidRPr="00D35011" w:rsidRDefault="00E20B6E" w:rsidP="00237985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990" w:rsidRDefault="00524990" w:rsidP="00237985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990" w:rsidRDefault="00524990" w:rsidP="00237985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FEA" w:rsidRPr="00195C88" w:rsidRDefault="00CD6FEA" w:rsidP="00237985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20B6E" w:rsidRPr="00195C88" w:rsidRDefault="00E20B6E" w:rsidP="00237985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мониторинга начальной (максимальной) цены контракта в заявках заказчиков Курской области на проведение централизованных электронных процедур определения поставщиков (подрядчиков, исполнителей)</w:t>
      </w:r>
    </w:p>
    <w:p w:rsidR="007E2E58" w:rsidRPr="00195C88" w:rsidRDefault="007E2E58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B6E" w:rsidRPr="00195C88" w:rsidRDefault="00E20B6E" w:rsidP="0023798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8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20B6E" w:rsidRPr="00E17B37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7B3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5 апреля 2013 г. № 44-ФЗ </w:t>
      </w:r>
      <w:r w:rsidR="00E85D23" w:rsidRPr="00E17B37">
        <w:rPr>
          <w:rFonts w:ascii="Times New Roman" w:hAnsi="Times New Roman" w:cs="Times New Roman"/>
          <w:sz w:val="28"/>
          <w:szCs w:val="28"/>
        </w:rPr>
        <w:t>«</w:t>
      </w:r>
      <w:r w:rsidRPr="00E17B3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85D23" w:rsidRPr="00E17B37">
        <w:rPr>
          <w:rFonts w:ascii="Times New Roman" w:hAnsi="Times New Roman" w:cs="Times New Roman"/>
          <w:sz w:val="28"/>
          <w:szCs w:val="28"/>
        </w:rPr>
        <w:t>»</w:t>
      </w:r>
      <w:r w:rsidRPr="00E17B37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44-ФЗ), постановлением Правительства Курской области от 18.08.2025 № 594-пп </w:t>
      </w:r>
      <w:r w:rsidR="00E85D23" w:rsidRPr="00E17B37">
        <w:rPr>
          <w:rFonts w:ascii="Times New Roman" w:hAnsi="Times New Roman" w:cs="Times New Roman"/>
          <w:sz w:val="28"/>
          <w:szCs w:val="28"/>
        </w:rPr>
        <w:t>«</w:t>
      </w:r>
      <w:r w:rsidRPr="00E17B37">
        <w:rPr>
          <w:rFonts w:ascii="Times New Roman" w:hAnsi="Times New Roman" w:cs="Times New Roman"/>
          <w:sz w:val="28"/>
          <w:szCs w:val="28"/>
        </w:rPr>
        <w:t>Об учете и направлении средств экономии, складывающейся по результатам работы с заявками заказчиков на проведение централизованных электронных процедур определения поставщиков (подрядчиков, исполнителей)</w:t>
      </w:r>
      <w:r w:rsidR="00E85D23" w:rsidRPr="00E17B37">
        <w:rPr>
          <w:rFonts w:ascii="Times New Roman" w:hAnsi="Times New Roman" w:cs="Times New Roman"/>
          <w:sz w:val="28"/>
          <w:szCs w:val="28"/>
        </w:rPr>
        <w:t>»</w:t>
      </w:r>
      <w:r w:rsidRPr="00E17B37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Курской области от 22.01.2020 № 47-па </w:t>
      </w:r>
      <w:r w:rsidR="00E85D23" w:rsidRPr="00E17B37">
        <w:rPr>
          <w:rFonts w:ascii="Times New Roman" w:hAnsi="Times New Roman" w:cs="Times New Roman"/>
          <w:sz w:val="28"/>
          <w:szCs w:val="28"/>
        </w:rPr>
        <w:t>«</w:t>
      </w:r>
      <w:r w:rsidRPr="00E17B37">
        <w:rPr>
          <w:rFonts w:ascii="Times New Roman" w:hAnsi="Times New Roman" w:cs="Times New Roman"/>
          <w:sz w:val="28"/>
          <w:szCs w:val="28"/>
        </w:rPr>
        <w:t>О централизации закупок в Курской области</w:t>
      </w:r>
      <w:r w:rsidR="00E85D23" w:rsidRPr="00E17B37">
        <w:rPr>
          <w:rFonts w:ascii="Times New Roman" w:hAnsi="Times New Roman" w:cs="Times New Roman"/>
          <w:sz w:val="28"/>
          <w:szCs w:val="28"/>
        </w:rPr>
        <w:t>»</w:t>
      </w:r>
      <w:r w:rsidRPr="00E17B37">
        <w:rPr>
          <w:rFonts w:ascii="Times New Roman" w:hAnsi="Times New Roman" w:cs="Times New Roman"/>
          <w:sz w:val="28"/>
          <w:szCs w:val="28"/>
        </w:rPr>
        <w:t xml:space="preserve"> и определяет правила осуществления Министерством имущества Курской области (далее – Министерство, Уполномоченный орган) и областным казенным учреждением </w:t>
      </w:r>
      <w:r w:rsidR="00E85D23" w:rsidRPr="00E17B37">
        <w:rPr>
          <w:rFonts w:ascii="Times New Roman" w:hAnsi="Times New Roman" w:cs="Times New Roman"/>
          <w:sz w:val="28"/>
          <w:szCs w:val="28"/>
        </w:rPr>
        <w:t>«</w:t>
      </w:r>
      <w:r w:rsidRPr="00E17B37">
        <w:rPr>
          <w:rFonts w:ascii="Times New Roman" w:hAnsi="Times New Roman" w:cs="Times New Roman"/>
          <w:sz w:val="28"/>
          <w:szCs w:val="28"/>
        </w:rPr>
        <w:t>Центр закупок Курской области</w:t>
      </w:r>
      <w:r w:rsidR="00E85D23" w:rsidRPr="00E17B37">
        <w:rPr>
          <w:rFonts w:ascii="Times New Roman" w:hAnsi="Times New Roman" w:cs="Times New Roman"/>
          <w:sz w:val="28"/>
          <w:szCs w:val="28"/>
        </w:rPr>
        <w:t>»</w:t>
      </w:r>
      <w:r w:rsidRPr="00E17B37">
        <w:rPr>
          <w:rFonts w:ascii="Times New Roman" w:hAnsi="Times New Roman" w:cs="Times New Roman"/>
          <w:sz w:val="28"/>
          <w:szCs w:val="28"/>
        </w:rPr>
        <w:t xml:space="preserve"> (далее – ОКУ ЦЗКО, Уполномоченное учреждение) мониторинга начальной (максимальной) цены контракта (далее – НМЦК) в заявках заказчиков Курской области на проведение централизованных электронных процедур определения поставщиков (подрядчиков, исполнителей) в целях повышения эффективности использования бюджетных средств.</w:t>
      </w:r>
    </w:p>
    <w:p w:rsidR="00E20B6E" w:rsidRPr="00E17B37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7B37">
        <w:rPr>
          <w:rFonts w:ascii="Times New Roman" w:hAnsi="Times New Roman" w:cs="Times New Roman"/>
          <w:sz w:val="28"/>
          <w:szCs w:val="28"/>
        </w:rPr>
        <w:t>Настоящий Порядок применяется при рассмотрении Уполномоченным органом (</w:t>
      </w:r>
      <w:r w:rsidR="00FF7B79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E17B37">
        <w:rPr>
          <w:rFonts w:ascii="Times New Roman" w:hAnsi="Times New Roman" w:cs="Times New Roman"/>
          <w:sz w:val="28"/>
          <w:szCs w:val="28"/>
        </w:rPr>
        <w:t xml:space="preserve">учреждением) заявок заказчиков Курской области на проведение централизованных электронных </w:t>
      </w:r>
      <w:r w:rsidRPr="00E17B37">
        <w:rPr>
          <w:rFonts w:ascii="Times New Roman" w:hAnsi="Times New Roman" w:cs="Times New Roman"/>
          <w:sz w:val="28"/>
          <w:szCs w:val="28"/>
        </w:rPr>
        <w:lastRenderedPageBreak/>
        <w:t>процедур определения поставщиков (подрядчиков, исполнителей) в соответствии с Федеральным законом № 44-ФЗ.</w:t>
      </w:r>
    </w:p>
    <w:p w:rsidR="00E20B6E" w:rsidRPr="00E17B37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7B37">
        <w:rPr>
          <w:rFonts w:ascii="Times New Roman" w:hAnsi="Times New Roman" w:cs="Times New Roman"/>
          <w:sz w:val="28"/>
          <w:szCs w:val="28"/>
        </w:rPr>
        <w:t>Мониторинг НМЦК осуществляется в отношении закупок товаров, работ, услуг, для которых возможно определение идентичности (однородности) товаров, работ, услуг, закупаемым другими заказчиками, в том числе с применением типовых характеристик, содержащихся в каталоге товаров, работ, услуг (КТРУ) единой информационной системы в сфере закупок (ЕИС).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:rsidR="00464FCD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4.1. Мониторинг НМЦК – комплекс мероприятий, осуществляемых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Уполномоченным органом (Уполномоченным учреждением)</w:t>
      </w:r>
      <w:r w:rsidRPr="00195C88">
        <w:rPr>
          <w:rFonts w:ascii="Times New Roman" w:hAnsi="Times New Roman" w:cs="Times New Roman"/>
          <w:sz w:val="28"/>
          <w:szCs w:val="28"/>
        </w:rPr>
        <w:t xml:space="preserve">, по анализу и оценке обоснованности НМЦК, заявленных заказчиками, в соответствии с требованиями законодательства Российской Федерации </w:t>
      </w:r>
      <w:r w:rsidR="00464FCD" w:rsidRPr="00195C88">
        <w:rPr>
          <w:rFonts w:ascii="Times New Roman" w:hAnsi="Times New Roman" w:cs="Times New Roman"/>
          <w:sz w:val="28"/>
          <w:szCs w:val="28"/>
        </w:rPr>
        <w:t>о контрактной системе, до начала проведения конкурентных процедур и заключения государственных контрактов для нужд Курской области</w:t>
      </w:r>
      <w:r w:rsidR="00E17B37">
        <w:rPr>
          <w:rFonts w:ascii="Times New Roman" w:hAnsi="Times New Roman" w:cs="Times New Roman"/>
          <w:sz w:val="28"/>
          <w:szCs w:val="28"/>
        </w:rPr>
        <w:t>.</w:t>
      </w:r>
    </w:p>
    <w:p w:rsidR="00E20B6E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4.2. Заказчики – </w:t>
      </w:r>
      <w:r w:rsidR="007E2E58" w:rsidRPr="00195C88">
        <w:rPr>
          <w:rFonts w:ascii="Times New Roman" w:hAnsi="Times New Roman" w:cs="Times New Roman"/>
          <w:sz w:val="28"/>
          <w:szCs w:val="28"/>
        </w:rPr>
        <w:t>исполнительные органы Курской области, государственные казенные учреждения Курской области, а также на государственные бюджетные и автономные учреждения Курской области, областные унитарные предприятия Курской области,</w:t>
      </w:r>
      <w:r w:rsidRPr="00195C88">
        <w:rPr>
          <w:rFonts w:ascii="Times New Roman" w:hAnsi="Times New Roman" w:cs="Times New Roman"/>
          <w:sz w:val="28"/>
          <w:szCs w:val="28"/>
        </w:rPr>
        <w:t xml:space="preserve"> осуществляющие закупки в соответствии с Федеральным законом № 44-ФЗ.</w:t>
      </w:r>
    </w:p>
    <w:p w:rsidR="00E20B6E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4.3. Средняя цена – цена единицы товара, работы, услуги, рассчитанная на основании данных о ценах соответствующих товаров, работ, услуг, содержащихся в реестре контрактов ЕИС, путем суммирования цен контрактов по данному товару, работе, услуге и деления полученной суммы на количество контрактов.</w:t>
      </w:r>
    </w:p>
    <w:p w:rsidR="00E20B6E" w:rsidRPr="00D35011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35011">
        <w:rPr>
          <w:rFonts w:ascii="Times New Roman" w:hAnsi="Times New Roman" w:cs="Times New Roman"/>
          <w:sz w:val="28"/>
          <w:szCs w:val="28"/>
        </w:rPr>
        <w:t xml:space="preserve">4.4. </w:t>
      </w:r>
      <w:r w:rsidR="00B65CC1" w:rsidRPr="00D35011">
        <w:rPr>
          <w:rFonts w:ascii="Times New Roman" w:hAnsi="Times New Roman" w:cs="Times New Roman"/>
          <w:sz w:val="28"/>
          <w:szCs w:val="28"/>
        </w:rPr>
        <w:t>Р</w:t>
      </w:r>
      <w:r w:rsidRPr="00D35011">
        <w:rPr>
          <w:rFonts w:ascii="Times New Roman" w:hAnsi="Times New Roman" w:cs="Times New Roman"/>
          <w:sz w:val="28"/>
          <w:szCs w:val="28"/>
        </w:rPr>
        <w:t xml:space="preserve">ассмотрение заявки - процесс, организуемый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Уполномоченным органом (Уполномоченным учреждением)</w:t>
      </w:r>
      <w:r w:rsidRPr="00D35011">
        <w:rPr>
          <w:rFonts w:ascii="Times New Roman" w:hAnsi="Times New Roman" w:cs="Times New Roman"/>
          <w:sz w:val="28"/>
          <w:szCs w:val="28"/>
        </w:rPr>
        <w:t xml:space="preserve"> на основании поданной заказчиком заявки, заключающийся </w:t>
      </w:r>
      <w:r w:rsidR="00D35011" w:rsidRPr="00D35011">
        <w:rPr>
          <w:rFonts w:ascii="Times New Roman" w:hAnsi="Times New Roman" w:cs="Times New Roman"/>
          <w:sz w:val="28"/>
          <w:szCs w:val="28"/>
        </w:rPr>
        <w:t>в</w:t>
      </w:r>
      <w:r w:rsidRPr="00D35011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E85D23" w:rsidRPr="00D35011">
        <w:rPr>
          <w:rFonts w:ascii="Times New Roman" w:hAnsi="Times New Roman" w:cs="Times New Roman"/>
          <w:sz w:val="28"/>
          <w:szCs w:val="28"/>
        </w:rPr>
        <w:t>мониторинга НМЦК</w:t>
      </w:r>
      <w:r w:rsidRPr="00D35011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E85D23" w:rsidRPr="00D35011">
        <w:rPr>
          <w:rFonts w:ascii="Times New Roman" w:hAnsi="Times New Roman" w:cs="Times New Roman"/>
          <w:sz w:val="28"/>
          <w:szCs w:val="28"/>
        </w:rPr>
        <w:t>Порядком</w:t>
      </w:r>
      <w:r w:rsidRPr="00D35011">
        <w:rPr>
          <w:rFonts w:ascii="Times New Roman" w:hAnsi="Times New Roman" w:cs="Times New Roman"/>
          <w:sz w:val="28"/>
          <w:szCs w:val="28"/>
        </w:rPr>
        <w:t xml:space="preserve"> </w:t>
      </w:r>
      <w:r w:rsidR="00D35011" w:rsidRPr="00D35011">
        <w:rPr>
          <w:rFonts w:ascii="Times New Roman" w:hAnsi="Times New Roman" w:cs="Times New Roman"/>
          <w:sz w:val="28"/>
          <w:szCs w:val="28"/>
        </w:rPr>
        <w:t>при подготовке</w:t>
      </w:r>
      <w:r w:rsidRPr="00D35011">
        <w:rPr>
          <w:rFonts w:ascii="Times New Roman" w:hAnsi="Times New Roman" w:cs="Times New Roman"/>
          <w:sz w:val="28"/>
          <w:szCs w:val="28"/>
        </w:rPr>
        <w:t xml:space="preserve"> проекта извещения об осуществлении закупки (изменений в него) в соответствии с </w:t>
      </w:r>
      <w:r w:rsidR="00E85D23" w:rsidRPr="00D35011">
        <w:rPr>
          <w:rFonts w:ascii="Times New Roman" w:hAnsi="Times New Roman" w:cs="Times New Roman"/>
          <w:sz w:val="28"/>
          <w:szCs w:val="28"/>
        </w:rPr>
        <w:t>Порядком взаимодействия Министерства имущества Курской области и областного казенного учреждения «Центр закупок Курской области» по определению поставщиков (подрядчиков, исполнителей) с заказчиками Курской области при осуществлении закупок товаров, работ, услуг», утвержденным постановлением Администрации Курской области от 22.01.2020 №47-па «О централизации закупок в Курской области» (</w:t>
      </w:r>
      <w:r w:rsidRPr="00D35011">
        <w:rPr>
          <w:rFonts w:ascii="Times New Roman" w:hAnsi="Times New Roman" w:cs="Times New Roman"/>
          <w:sz w:val="28"/>
          <w:szCs w:val="28"/>
        </w:rPr>
        <w:t xml:space="preserve">далее - Постановление </w:t>
      </w:r>
      <w:r w:rsidR="00E85D23" w:rsidRPr="00D35011">
        <w:rPr>
          <w:rFonts w:ascii="Times New Roman" w:hAnsi="Times New Roman" w:cs="Times New Roman"/>
          <w:sz w:val="28"/>
          <w:szCs w:val="28"/>
        </w:rPr>
        <w:t>№</w:t>
      </w:r>
      <w:r w:rsidRPr="00D35011">
        <w:rPr>
          <w:rFonts w:ascii="Times New Roman" w:hAnsi="Times New Roman" w:cs="Times New Roman"/>
          <w:sz w:val="28"/>
          <w:szCs w:val="28"/>
        </w:rPr>
        <w:t xml:space="preserve"> </w:t>
      </w:r>
      <w:r w:rsidR="00E85D23" w:rsidRPr="00D35011">
        <w:rPr>
          <w:rFonts w:ascii="Times New Roman" w:hAnsi="Times New Roman" w:cs="Times New Roman"/>
          <w:sz w:val="28"/>
          <w:szCs w:val="28"/>
        </w:rPr>
        <w:t>47-па</w:t>
      </w:r>
      <w:r w:rsidRPr="00D35011">
        <w:rPr>
          <w:rFonts w:ascii="Times New Roman" w:hAnsi="Times New Roman" w:cs="Times New Roman"/>
          <w:sz w:val="28"/>
          <w:szCs w:val="28"/>
        </w:rPr>
        <w:t>).</w:t>
      </w:r>
      <w:r w:rsidR="00694F5E" w:rsidRPr="00D35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E58" w:rsidRPr="00195C88" w:rsidRDefault="007E2E58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lastRenderedPageBreak/>
        <w:t xml:space="preserve">4.5. Иные понятия, применяемые в настоящем Порядке, использованы в значениях, определенных Федеральным </w:t>
      </w:r>
      <w:hyperlink r:id="rId8" w:history="1">
        <w:r w:rsidRPr="00195C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5C88">
        <w:rPr>
          <w:rFonts w:ascii="Times New Roman" w:hAnsi="Times New Roman" w:cs="Times New Roman"/>
          <w:sz w:val="28"/>
          <w:szCs w:val="28"/>
        </w:rPr>
        <w:t xml:space="preserve"> </w:t>
      </w:r>
      <w:r w:rsidR="00464FCD" w:rsidRPr="00195C88">
        <w:rPr>
          <w:rFonts w:ascii="Times New Roman" w:hAnsi="Times New Roman" w:cs="Times New Roman"/>
          <w:sz w:val="28"/>
          <w:szCs w:val="28"/>
        </w:rPr>
        <w:t>№</w:t>
      </w:r>
      <w:r w:rsidRPr="00195C88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E17B37" w:rsidRDefault="00E17B37" w:rsidP="00237985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6E" w:rsidRPr="00195C88" w:rsidRDefault="00E20B6E" w:rsidP="0023798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88">
        <w:rPr>
          <w:rFonts w:ascii="Times New Roman" w:hAnsi="Times New Roman" w:cs="Times New Roman"/>
          <w:b/>
          <w:sz w:val="28"/>
          <w:szCs w:val="28"/>
        </w:rPr>
        <w:t>II. Порядок проведения мониторинга НМЦК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Мониторинг НМЦК проводится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Уполномоченным органом (Уполномоченным учреждением)</w:t>
      </w:r>
      <w:r w:rsidRPr="00195C88">
        <w:rPr>
          <w:rFonts w:ascii="Times New Roman" w:hAnsi="Times New Roman" w:cs="Times New Roman"/>
          <w:sz w:val="28"/>
          <w:szCs w:val="28"/>
        </w:rPr>
        <w:t xml:space="preserve"> в рамках рассмотрения заявок заказчиков на проведение централизованных торгов в </w:t>
      </w:r>
      <w:r w:rsidR="00B65CC1" w:rsidRPr="00195C88">
        <w:rPr>
          <w:rFonts w:ascii="Times New Roman" w:hAnsi="Times New Roman" w:cs="Times New Roman"/>
          <w:sz w:val="28"/>
          <w:szCs w:val="28"/>
        </w:rPr>
        <w:t>р</w:t>
      </w:r>
      <w:r w:rsidRPr="00195C88">
        <w:rPr>
          <w:rFonts w:ascii="Times New Roman" w:hAnsi="Times New Roman" w:cs="Times New Roman"/>
          <w:sz w:val="28"/>
          <w:szCs w:val="28"/>
        </w:rPr>
        <w:t xml:space="preserve">егиональной информационной системе в сфере закупок для обеспечения нужд Курской области </w:t>
      </w:r>
      <w:r w:rsidR="00E85D23" w:rsidRPr="00195C88">
        <w:rPr>
          <w:rFonts w:ascii="Times New Roman" w:hAnsi="Times New Roman" w:cs="Times New Roman"/>
          <w:sz w:val="28"/>
          <w:szCs w:val="28"/>
        </w:rPr>
        <w:t>«</w:t>
      </w:r>
      <w:r w:rsidRPr="00195C88">
        <w:rPr>
          <w:rFonts w:ascii="Times New Roman" w:hAnsi="Times New Roman" w:cs="Times New Roman"/>
          <w:sz w:val="28"/>
          <w:szCs w:val="28"/>
        </w:rPr>
        <w:t>Торги Курской области</w:t>
      </w:r>
      <w:r w:rsidR="00E85D23" w:rsidRPr="00195C88">
        <w:rPr>
          <w:rFonts w:ascii="Times New Roman" w:hAnsi="Times New Roman" w:cs="Times New Roman"/>
          <w:sz w:val="28"/>
          <w:szCs w:val="28"/>
        </w:rPr>
        <w:t>»</w:t>
      </w:r>
      <w:r w:rsidRPr="00195C88">
        <w:rPr>
          <w:rFonts w:ascii="Times New Roman" w:hAnsi="Times New Roman" w:cs="Times New Roman"/>
          <w:sz w:val="28"/>
          <w:szCs w:val="28"/>
        </w:rPr>
        <w:t>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При проведении мониторинга НМЦК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Pr="00195C88">
        <w:rPr>
          <w:rFonts w:ascii="Times New Roman" w:hAnsi="Times New Roman" w:cs="Times New Roman"/>
          <w:sz w:val="28"/>
          <w:szCs w:val="28"/>
        </w:rPr>
        <w:t xml:space="preserve"> руководствуется положениями статьи 22 Федерального закона № 44-ФЗ и приказом Министерства экономического развития Российской Федерации от 2 октября 2013 г. № 567 </w:t>
      </w:r>
      <w:r w:rsidR="00E85D23" w:rsidRPr="00195C88">
        <w:rPr>
          <w:rFonts w:ascii="Times New Roman" w:hAnsi="Times New Roman" w:cs="Times New Roman"/>
          <w:sz w:val="28"/>
          <w:szCs w:val="28"/>
        </w:rPr>
        <w:t>«</w:t>
      </w:r>
      <w:r w:rsidRPr="00195C88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E85D23" w:rsidRPr="00195C88">
        <w:rPr>
          <w:rFonts w:ascii="Times New Roman" w:hAnsi="Times New Roman" w:cs="Times New Roman"/>
          <w:sz w:val="28"/>
          <w:szCs w:val="28"/>
        </w:rPr>
        <w:t>»</w:t>
      </w:r>
      <w:r w:rsidRPr="00195C88">
        <w:rPr>
          <w:rFonts w:ascii="Times New Roman" w:hAnsi="Times New Roman" w:cs="Times New Roman"/>
          <w:sz w:val="28"/>
          <w:szCs w:val="28"/>
        </w:rPr>
        <w:t xml:space="preserve"> (далее – Приказ Минэкономразвития № 567).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В целях проведения мониторинга НМЦК используются:</w:t>
      </w:r>
    </w:p>
    <w:p w:rsidR="00E20B6E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7.1. </w:t>
      </w:r>
      <w:r w:rsidR="00E17B37" w:rsidRPr="00195C88"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195C88">
        <w:rPr>
          <w:rFonts w:ascii="Times New Roman" w:hAnsi="Times New Roman" w:cs="Times New Roman"/>
          <w:sz w:val="28"/>
          <w:szCs w:val="28"/>
        </w:rPr>
        <w:t>контрактов ЕИС в соответствии с положениями Федерального закона № 44-ФЗ</w:t>
      </w:r>
      <w:r w:rsidR="00E17B37">
        <w:rPr>
          <w:rFonts w:ascii="Times New Roman" w:hAnsi="Times New Roman" w:cs="Times New Roman"/>
          <w:sz w:val="28"/>
          <w:szCs w:val="28"/>
        </w:rPr>
        <w:t>;</w:t>
      </w:r>
    </w:p>
    <w:p w:rsidR="00E20B6E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7.2. </w:t>
      </w:r>
      <w:r w:rsidR="00E17B37" w:rsidRPr="00195C88">
        <w:rPr>
          <w:rFonts w:ascii="Times New Roman" w:hAnsi="Times New Roman" w:cs="Times New Roman"/>
          <w:sz w:val="28"/>
          <w:szCs w:val="28"/>
        </w:rPr>
        <w:t xml:space="preserve">специализированные </w:t>
      </w:r>
      <w:r w:rsidR="007E2E58" w:rsidRPr="00195C88">
        <w:rPr>
          <w:rFonts w:ascii="Times New Roman" w:hAnsi="Times New Roman" w:cs="Times New Roman"/>
          <w:sz w:val="28"/>
          <w:szCs w:val="28"/>
        </w:rPr>
        <w:t xml:space="preserve">автоматизированные </w:t>
      </w:r>
      <w:r w:rsidRPr="00195C88">
        <w:rPr>
          <w:rFonts w:ascii="Times New Roman" w:hAnsi="Times New Roman" w:cs="Times New Roman"/>
          <w:sz w:val="28"/>
          <w:szCs w:val="28"/>
        </w:rPr>
        <w:t>сервисы федеральных электронных площадок для расчета НМЦК, использующие информацию из реестра контрактов ЕИС</w:t>
      </w:r>
      <w:r w:rsidR="00E17B37">
        <w:rPr>
          <w:rFonts w:ascii="Times New Roman" w:hAnsi="Times New Roman" w:cs="Times New Roman"/>
          <w:sz w:val="28"/>
          <w:szCs w:val="28"/>
        </w:rPr>
        <w:t>;</w:t>
      </w:r>
    </w:p>
    <w:p w:rsidR="007E2E58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7.3. </w:t>
      </w:r>
      <w:r w:rsidR="00E17B37" w:rsidRPr="00195C88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7E2E58" w:rsidRPr="00195C88">
        <w:rPr>
          <w:rFonts w:ascii="Times New Roman" w:hAnsi="Times New Roman" w:cs="Times New Roman"/>
          <w:sz w:val="28"/>
          <w:szCs w:val="28"/>
        </w:rPr>
        <w:t>реестры, предусмотренные действующим законодательством Российской Федерации</w:t>
      </w:r>
      <w:r w:rsidR="00E17B37">
        <w:rPr>
          <w:rFonts w:ascii="Times New Roman" w:hAnsi="Times New Roman" w:cs="Times New Roman"/>
          <w:sz w:val="28"/>
          <w:szCs w:val="28"/>
        </w:rPr>
        <w:t>;</w:t>
      </w:r>
    </w:p>
    <w:p w:rsidR="00E20B6E" w:rsidRPr="00195C88" w:rsidRDefault="007E2E58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7.4. </w:t>
      </w:r>
      <w:r w:rsidR="00E17B37" w:rsidRPr="00195C88">
        <w:rPr>
          <w:rFonts w:ascii="Times New Roman" w:hAnsi="Times New Roman" w:cs="Times New Roman"/>
          <w:sz w:val="28"/>
          <w:szCs w:val="28"/>
        </w:rPr>
        <w:t xml:space="preserve">иные </w:t>
      </w:r>
      <w:r w:rsidR="00E20B6E" w:rsidRPr="00195C88">
        <w:rPr>
          <w:rFonts w:ascii="Times New Roman" w:hAnsi="Times New Roman" w:cs="Times New Roman"/>
          <w:sz w:val="28"/>
          <w:szCs w:val="28"/>
        </w:rPr>
        <w:t>открытые источники информации, предусмотренные законодательством Российской Федерации о контрактной системе (с возможностью использования общедоступной информации).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При проведении мониторинга НМЦК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Pr="00195C88">
        <w:rPr>
          <w:rFonts w:ascii="Times New Roman" w:hAnsi="Times New Roman" w:cs="Times New Roman"/>
          <w:sz w:val="28"/>
          <w:szCs w:val="28"/>
        </w:rPr>
        <w:t xml:space="preserve"> осуществляет оценку соответствия:</w:t>
      </w:r>
    </w:p>
    <w:p w:rsidR="00E20B6E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8.1. </w:t>
      </w:r>
      <w:r w:rsidR="00E17B37" w:rsidRPr="00195C88">
        <w:rPr>
          <w:rFonts w:ascii="Times New Roman" w:hAnsi="Times New Roman" w:cs="Times New Roman"/>
          <w:sz w:val="28"/>
          <w:szCs w:val="28"/>
        </w:rPr>
        <w:t xml:space="preserve">ценовой </w:t>
      </w:r>
      <w:r w:rsidRPr="00195C88">
        <w:rPr>
          <w:rFonts w:ascii="Times New Roman" w:hAnsi="Times New Roman" w:cs="Times New Roman"/>
          <w:sz w:val="28"/>
          <w:szCs w:val="28"/>
        </w:rPr>
        <w:t>информации, используемой заказчиком при определении НМЦК, требованиям статьи 22 Федерального закона № 44-ФЗ</w:t>
      </w:r>
      <w:r w:rsidR="00E17B37">
        <w:rPr>
          <w:rFonts w:ascii="Times New Roman" w:hAnsi="Times New Roman" w:cs="Times New Roman"/>
          <w:sz w:val="28"/>
          <w:szCs w:val="28"/>
        </w:rPr>
        <w:t>;</w:t>
      </w:r>
    </w:p>
    <w:p w:rsidR="009C705E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8.2. </w:t>
      </w:r>
      <w:r w:rsidR="00E17B37" w:rsidRPr="00195C8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195C88">
        <w:rPr>
          <w:rFonts w:ascii="Times New Roman" w:hAnsi="Times New Roman" w:cs="Times New Roman"/>
          <w:sz w:val="28"/>
          <w:szCs w:val="28"/>
        </w:rPr>
        <w:t>применения метода определения НМЦК требованиям статьи 22 Федерального закона № 44-ФЗ и Приказа Минэкономразвития № 567.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lastRenderedPageBreak/>
        <w:t>Для целей мониторинга НМЦК рассматриваются сведения не менее чем о трех исполненных контрактах, заключенных по результатам конкурентных процедур на поставку идентичных (при их отсутствии - однородных) товаров, работ, услуг за год, предшествующий периоду проведения мониторинга, на территории Курской области, в соответствии с требованиями статьи 22 Федерального закона № 44-ФЗ.</w:t>
      </w:r>
    </w:p>
    <w:p w:rsidR="009C705E" w:rsidRPr="00195C88" w:rsidRDefault="009C705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При проведении проверки и оценки правильности выбора метода и (или) установленного порядка либо неприменения установленных особенностей исполнитель </w:t>
      </w:r>
      <w:r w:rsidR="00FF7B79">
        <w:rPr>
          <w:rFonts w:ascii="Times New Roman" w:hAnsi="Times New Roman" w:cs="Times New Roman"/>
          <w:sz w:val="28"/>
          <w:szCs w:val="28"/>
        </w:rPr>
        <w:t>Уполномоченного органа (Уполномоченного учреждения)</w:t>
      </w:r>
      <w:r w:rsidRPr="00195C88">
        <w:rPr>
          <w:rFonts w:ascii="Times New Roman" w:hAnsi="Times New Roman" w:cs="Times New Roman"/>
          <w:sz w:val="28"/>
          <w:szCs w:val="28"/>
        </w:rPr>
        <w:t xml:space="preserve"> оценивает соответствие метода, примененного заказчиком при определении НМЦК, и (или) установленного порядка либо соответствие неприменения заказчиком установленных особенностей в отношении объекта закупки требованиям законодательства.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В целях оценки соответствия ценовой информации, используемой заказчиком при определении </w:t>
      </w:r>
      <w:proofErr w:type="spellStart"/>
      <w:r w:rsidRPr="00195C88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="00D35011" w:rsidRPr="00D35011">
        <w:rPr>
          <w:rFonts w:ascii="Times New Roman" w:hAnsi="Times New Roman" w:cs="Times New Roman"/>
          <w:sz w:val="28"/>
          <w:szCs w:val="28"/>
        </w:rPr>
        <w:t xml:space="preserve"> </w:t>
      </w:r>
      <w:r w:rsidR="00D35011">
        <w:rPr>
          <w:rFonts w:ascii="Times New Roman" w:hAnsi="Times New Roman" w:cs="Times New Roman"/>
          <w:sz w:val="28"/>
          <w:szCs w:val="28"/>
        </w:rPr>
        <w:t>методом</w:t>
      </w:r>
      <w:r w:rsidR="00D35011" w:rsidRPr="00195C88">
        <w:rPr>
          <w:rFonts w:ascii="Times New Roman" w:hAnsi="Times New Roman" w:cs="Times New Roman"/>
          <w:sz w:val="28"/>
          <w:szCs w:val="28"/>
        </w:rPr>
        <w:t xml:space="preserve"> сопоставимых рыночных цен</w:t>
      </w:r>
      <w:r w:rsidRPr="00195C88">
        <w:rPr>
          <w:rFonts w:ascii="Times New Roman" w:hAnsi="Times New Roman" w:cs="Times New Roman"/>
          <w:sz w:val="28"/>
          <w:szCs w:val="28"/>
        </w:rPr>
        <w:t xml:space="preserve">,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Pr="00195C88">
        <w:rPr>
          <w:rFonts w:ascii="Times New Roman" w:hAnsi="Times New Roman" w:cs="Times New Roman"/>
          <w:sz w:val="28"/>
          <w:szCs w:val="28"/>
        </w:rPr>
        <w:t xml:space="preserve"> проверяет</w:t>
      </w:r>
      <w:r w:rsidR="00D35011">
        <w:rPr>
          <w:rFonts w:ascii="Times New Roman" w:hAnsi="Times New Roman" w:cs="Times New Roman"/>
          <w:sz w:val="28"/>
          <w:szCs w:val="28"/>
        </w:rPr>
        <w:t xml:space="preserve"> с</w:t>
      </w:r>
      <w:r w:rsidRPr="00195C88">
        <w:rPr>
          <w:rFonts w:ascii="Times New Roman" w:hAnsi="Times New Roman" w:cs="Times New Roman"/>
          <w:sz w:val="28"/>
          <w:szCs w:val="28"/>
        </w:rPr>
        <w:t xml:space="preserve">оответствие ценовой информации, используемой заказчиком для определения </w:t>
      </w:r>
      <w:proofErr w:type="spellStart"/>
      <w:r w:rsidRPr="00195C88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Pr="00195C88">
        <w:rPr>
          <w:rFonts w:ascii="Times New Roman" w:hAnsi="Times New Roman" w:cs="Times New Roman"/>
          <w:sz w:val="28"/>
          <w:szCs w:val="28"/>
        </w:rPr>
        <w:t>, требованиям статьи 22 Федерального закона № 44-ФЗ, а также методическим рекомендациям, утвержденным Приказом Минэкономразвития № 567, включая:</w:t>
      </w:r>
    </w:p>
    <w:p w:rsidR="00E20B6E" w:rsidRPr="00195C88" w:rsidRDefault="00B65CC1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а)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 соответствие количества источников ценовой информации, используемой при определении НМЦК, требованиям законодательства (рекомендуемое количество, в соответствии с методическими</w:t>
      </w:r>
      <w:r w:rsidRPr="00195C88">
        <w:rPr>
          <w:rFonts w:ascii="Times New Roman" w:hAnsi="Times New Roman" w:cs="Times New Roman"/>
          <w:sz w:val="28"/>
          <w:szCs w:val="28"/>
        </w:rPr>
        <w:t xml:space="preserve"> рекомендациями, не менее трех);</w:t>
      </w:r>
    </w:p>
    <w:p w:rsidR="00B65CC1" w:rsidRPr="00195C88" w:rsidRDefault="00B65CC1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б) соответствие </w:t>
      </w:r>
      <w:r w:rsidR="00E20B6E" w:rsidRPr="00195C88">
        <w:rPr>
          <w:rFonts w:ascii="Times New Roman" w:hAnsi="Times New Roman" w:cs="Times New Roman"/>
          <w:sz w:val="28"/>
          <w:szCs w:val="28"/>
        </w:rPr>
        <w:t>информации о характеристиках идентичных товаров, планируемых к закупке, или при их отсутствии однородных товаров, в источниках ценовой информации, используемой при определении НМЦК</w:t>
      </w:r>
      <w:r w:rsidRPr="00195C88">
        <w:rPr>
          <w:rFonts w:ascii="Times New Roman" w:hAnsi="Times New Roman" w:cs="Times New Roman"/>
          <w:sz w:val="28"/>
          <w:szCs w:val="28"/>
        </w:rPr>
        <w:t>: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B6E" w:rsidRPr="00195C88" w:rsidRDefault="00B65CC1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– 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требованию об определении идентичности и однородности товаров в соответствии с частями 13 и 14 статьи 22 Закона </w:t>
      </w:r>
      <w:r w:rsidRPr="00195C88">
        <w:rPr>
          <w:rFonts w:ascii="Times New Roman" w:hAnsi="Times New Roman" w:cs="Times New Roman"/>
          <w:sz w:val="28"/>
          <w:szCs w:val="28"/>
        </w:rPr>
        <w:t>№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 44-ФЗ исключительно с учетом товаров, происходящих из государств - членов Евразийского экономического союза (в случае осуществления закупки товара, включенного в объект закупки и указанного в приложении 1 и (или) приложении 2 к </w:t>
      </w:r>
      <w:r w:rsidR="00993207" w:rsidRPr="00195C88">
        <w:rPr>
          <w:rFonts w:ascii="Times New Roman" w:hAnsi="Times New Roman" w:cs="Times New Roman"/>
          <w:sz w:val="28"/>
          <w:szCs w:val="28"/>
        </w:rPr>
        <w:t>п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93207" w:rsidRPr="00195C8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23.12.2024 № 1875 «</w:t>
      </w:r>
      <w:r w:rsidR="00AE630A" w:rsidRPr="00AE630A">
        <w:rPr>
          <w:rFonts w:ascii="Times New Roman" w:hAnsi="Times New Roman" w:cs="Times New Roman"/>
          <w:sz w:val="28"/>
          <w:szCs w:val="28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993207" w:rsidRPr="00195C88">
        <w:rPr>
          <w:rFonts w:ascii="Times New Roman" w:hAnsi="Times New Roman" w:cs="Times New Roman"/>
          <w:sz w:val="28"/>
          <w:szCs w:val="28"/>
        </w:rPr>
        <w:t xml:space="preserve">» (далее – Постановление </w:t>
      </w:r>
      <w:r w:rsidRPr="00195C88">
        <w:rPr>
          <w:rFonts w:ascii="Times New Roman" w:hAnsi="Times New Roman" w:cs="Times New Roman"/>
          <w:sz w:val="28"/>
          <w:szCs w:val="28"/>
        </w:rPr>
        <w:t>№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 1875)</w:t>
      </w:r>
      <w:r w:rsidRPr="00195C88">
        <w:rPr>
          <w:rFonts w:ascii="Times New Roman" w:hAnsi="Times New Roman" w:cs="Times New Roman"/>
          <w:sz w:val="28"/>
          <w:szCs w:val="28"/>
        </w:rPr>
        <w:t>;</w:t>
      </w:r>
    </w:p>
    <w:p w:rsidR="00F274FF" w:rsidRDefault="00B65CC1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 требованию об использовании ценовой информации, направленной заказчиком в адрес поставщиков, являющихся субъектами деятельности в сфере промышленности, информация о которых включена в государственную информационную систему промышленности, и (или) в случае включения в эту систему информации менее чем о трех таких поставщиках - в адрес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закупке (при их отсутствии - однородных товаров), и информация о которых и о поставленных ими товарах содержится на официальном сайте ЕИС в реестре контрактов, заключенных заказчиками (далее - реестр контрактов) (в случае осуществления закупки товара, включенного в объект закупки и указанного в приложении 1 и (или) приложении 2 к Постановлению </w:t>
      </w:r>
      <w:r w:rsidRPr="00195C88">
        <w:rPr>
          <w:rFonts w:ascii="Times New Roman" w:hAnsi="Times New Roman" w:cs="Times New Roman"/>
          <w:sz w:val="28"/>
          <w:szCs w:val="28"/>
        </w:rPr>
        <w:t>№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 18</w:t>
      </w:r>
      <w:r w:rsidR="00F274FF">
        <w:rPr>
          <w:rFonts w:ascii="Times New Roman" w:hAnsi="Times New Roman" w:cs="Times New Roman"/>
          <w:sz w:val="28"/>
          <w:szCs w:val="28"/>
        </w:rPr>
        <w:t>75);</w:t>
      </w:r>
    </w:p>
    <w:p w:rsidR="00F274FF" w:rsidRPr="00195C88" w:rsidRDefault="00F274FF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FF">
        <w:rPr>
          <w:rFonts w:ascii="Times New Roman" w:hAnsi="Times New Roman" w:cs="Times New Roman"/>
          <w:sz w:val="28"/>
          <w:szCs w:val="28"/>
        </w:rPr>
        <w:t xml:space="preserve"> </w:t>
      </w:r>
      <w:r w:rsidRPr="00195C88">
        <w:rPr>
          <w:rFonts w:ascii="Times New Roman" w:hAnsi="Times New Roman" w:cs="Times New Roman"/>
          <w:sz w:val="28"/>
          <w:szCs w:val="28"/>
        </w:rPr>
        <w:t>в) соответствие информации о характеристиках идентичных товаров, работ, услуг, планируемых к закупке, или, в их отсутствие, однородных товаров, работ, услуг, а также сопоставимость коммерческих и (или) финансовых условий поставки товаров, выполнения работ, оказания услуг в источниках ценовой информации, используемой для определения НМЦК, с соответствующей информацией о заявленных характеристиках объекта закупки в описании объекта закупки (техническом задании) и условиях планируемой закупки в проекте контракта или проекте договора, включенных в заявку.</w:t>
      </w:r>
    </w:p>
    <w:p w:rsidR="009C705E" w:rsidRPr="00195C88" w:rsidRDefault="009C705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В целях оценки правильности неприменения особенностей</w:t>
      </w:r>
      <w:r w:rsidR="00FF3B2B">
        <w:rPr>
          <w:rFonts w:ascii="Times New Roman" w:hAnsi="Times New Roman" w:cs="Times New Roman"/>
          <w:sz w:val="28"/>
          <w:szCs w:val="28"/>
        </w:rPr>
        <w:t xml:space="preserve"> </w:t>
      </w:r>
      <w:r w:rsidR="00FF3B2B" w:rsidRPr="00195C88">
        <w:rPr>
          <w:rFonts w:ascii="Times New Roman" w:hAnsi="Times New Roman" w:cs="Times New Roman"/>
          <w:sz w:val="28"/>
          <w:szCs w:val="28"/>
        </w:rPr>
        <w:t xml:space="preserve">определения </w:t>
      </w:r>
      <w:proofErr w:type="spellStart"/>
      <w:r w:rsidR="00FF3B2B" w:rsidRPr="00195C88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="00FF3B2B">
        <w:rPr>
          <w:rFonts w:ascii="Times New Roman" w:hAnsi="Times New Roman" w:cs="Times New Roman"/>
          <w:sz w:val="28"/>
          <w:szCs w:val="28"/>
        </w:rPr>
        <w:t xml:space="preserve">, установленных для закупок с применением национального режима, </w:t>
      </w:r>
      <w:r w:rsidRPr="00195C8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FF7B79">
        <w:rPr>
          <w:rFonts w:ascii="Times New Roman" w:hAnsi="Times New Roman" w:cs="Times New Roman"/>
          <w:sz w:val="28"/>
          <w:szCs w:val="28"/>
        </w:rPr>
        <w:t>Уполномоченного органа (Уполномоченного учреждения)</w:t>
      </w:r>
      <w:r w:rsidRPr="00195C88">
        <w:rPr>
          <w:rFonts w:ascii="Times New Roman" w:hAnsi="Times New Roman" w:cs="Times New Roman"/>
          <w:sz w:val="28"/>
          <w:szCs w:val="28"/>
        </w:rPr>
        <w:t xml:space="preserve"> проверяет наступление одного из случаев неприменения указанных особенностей, предусмотренных подпунктом «г» пункта 7 Постановления № 1875 (в случае осуществления закупки товара, включенного в объект закупки и указанного в приложении 1 и (или) приложении 2 к Постановлению № 1875) и установленным особенностям, предусмотренным подпунктом «в» пункта 7 Постановления № 1875 (в случае обязательности их применения).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В случае недостаточности информации о контрактах, указанных в пункте 9 настоящего Порядка, для целей мониторинга НМЦК могут быть использованы контракты, заключенные на территории Центрального федерального округа.</w:t>
      </w:r>
      <w:r w:rsidR="00B17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lastRenderedPageBreak/>
        <w:t xml:space="preserve">В целях оценки соответствия порядка применения метода определения НМЦК требованиям законодательства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Pr="00195C88">
        <w:rPr>
          <w:rFonts w:ascii="Times New Roman" w:hAnsi="Times New Roman" w:cs="Times New Roman"/>
          <w:sz w:val="28"/>
          <w:szCs w:val="28"/>
        </w:rPr>
        <w:t xml:space="preserve"> проверяет соответствие такого порядка применения следующим требованиям:</w:t>
      </w:r>
    </w:p>
    <w:p w:rsidR="00E20B6E" w:rsidRPr="00195C88" w:rsidRDefault="004F2359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1</w:t>
      </w:r>
      <w:r w:rsidR="00FF3B2B">
        <w:rPr>
          <w:rFonts w:ascii="Times New Roman" w:hAnsi="Times New Roman" w:cs="Times New Roman"/>
          <w:sz w:val="28"/>
          <w:szCs w:val="28"/>
        </w:rPr>
        <w:t>4</w:t>
      </w:r>
      <w:r w:rsidR="00E20B6E" w:rsidRPr="00195C88">
        <w:rPr>
          <w:rFonts w:ascii="Times New Roman" w:hAnsi="Times New Roman" w:cs="Times New Roman"/>
          <w:sz w:val="28"/>
          <w:szCs w:val="28"/>
        </w:rPr>
        <w:t>.1. При применении метода сопоставимых рыночных цен</w:t>
      </w:r>
      <w:r w:rsidR="00D35011">
        <w:rPr>
          <w:rFonts w:ascii="Times New Roman" w:hAnsi="Times New Roman" w:cs="Times New Roman"/>
          <w:sz w:val="28"/>
          <w:szCs w:val="28"/>
        </w:rPr>
        <w:t xml:space="preserve"> </w:t>
      </w:r>
      <w:r w:rsidR="00E20B6E" w:rsidRPr="00195C88">
        <w:rPr>
          <w:rFonts w:ascii="Times New Roman" w:hAnsi="Times New Roman" w:cs="Times New Roman"/>
          <w:sz w:val="28"/>
          <w:szCs w:val="28"/>
        </w:rPr>
        <w:t>– соответствие порядка применения этого метода статье 22 Федерального закона № 44-ФЗ, а также методическим рекомендациям, утвержденным Приказом Минэкономразвития № 567, включая:</w:t>
      </w:r>
    </w:p>
    <w:p w:rsidR="00E20B6E" w:rsidRPr="00195C88" w:rsidRDefault="00E17B37" w:rsidP="00237985">
      <w:pPr>
        <w:pStyle w:val="a3"/>
        <w:numPr>
          <w:ilvl w:val="0"/>
          <w:numId w:val="6"/>
        </w:numPr>
        <w:spacing w:before="120" w:after="120" w:line="276" w:lineRule="auto"/>
        <w:ind w:left="0" w:firstLine="8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20B6E" w:rsidRPr="00195C88">
        <w:rPr>
          <w:rFonts w:ascii="Times New Roman" w:hAnsi="Times New Roman" w:cs="Times New Roman"/>
          <w:sz w:val="28"/>
          <w:szCs w:val="28"/>
        </w:rPr>
        <w:t>обоснования применения коэффициентов (индексов) для пересчета цен товаров, работ, услуг с учетом различий в характеристиках товаров, коммерческих и (или) финансовых условий поставки товаров, выполнения работ,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B6E" w:rsidRPr="00195C88" w:rsidRDefault="00E17B37" w:rsidP="00237985">
      <w:pPr>
        <w:pStyle w:val="a3"/>
        <w:numPr>
          <w:ilvl w:val="0"/>
          <w:numId w:val="6"/>
        </w:numPr>
        <w:spacing w:before="120" w:after="120" w:line="276" w:lineRule="auto"/>
        <w:ind w:left="0" w:firstLine="8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примененных индексов потребительских цен соответствующим индексам, опубликованным на официальном сайте Федеральной службы государственной статистики в информационно-телекоммуникационной сети </w:t>
      </w:r>
      <w:r w:rsidR="00E85D23" w:rsidRPr="00195C88">
        <w:rPr>
          <w:rFonts w:ascii="Times New Roman" w:hAnsi="Times New Roman" w:cs="Times New Roman"/>
          <w:sz w:val="28"/>
          <w:szCs w:val="28"/>
        </w:rPr>
        <w:t>«</w:t>
      </w:r>
      <w:r w:rsidR="00E20B6E" w:rsidRPr="00195C88">
        <w:rPr>
          <w:rFonts w:ascii="Times New Roman" w:hAnsi="Times New Roman" w:cs="Times New Roman"/>
          <w:sz w:val="28"/>
          <w:szCs w:val="28"/>
        </w:rPr>
        <w:t>Интернет</w:t>
      </w:r>
      <w:r w:rsidR="00E85D23" w:rsidRPr="00195C88">
        <w:rPr>
          <w:rFonts w:ascii="Times New Roman" w:hAnsi="Times New Roman" w:cs="Times New Roman"/>
          <w:sz w:val="28"/>
          <w:szCs w:val="28"/>
        </w:rPr>
        <w:t>»</w:t>
      </w:r>
      <w:r w:rsidR="00E20B6E" w:rsidRPr="00195C88">
        <w:rPr>
          <w:rFonts w:ascii="Times New Roman" w:hAnsi="Times New Roman" w:cs="Times New Roman"/>
          <w:sz w:val="28"/>
          <w:szCs w:val="28"/>
        </w:rPr>
        <w:t>, а также актуальность этих индексов на дату обоснования НМЦК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B6E" w:rsidRPr="00195C88" w:rsidRDefault="00E17B37" w:rsidP="00237985">
      <w:pPr>
        <w:pStyle w:val="a3"/>
        <w:numPr>
          <w:ilvl w:val="0"/>
          <w:numId w:val="6"/>
        </w:numPr>
        <w:spacing w:before="120" w:after="120" w:line="276" w:lineRule="auto"/>
        <w:ind w:left="0" w:firstLine="8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указание </w:t>
      </w:r>
      <w:r w:rsidR="00E20B6E" w:rsidRPr="00195C88">
        <w:rPr>
          <w:rFonts w:ascii="Times New Roman" w:hAnsi="Times New Roman" w:cs="Times New Roman"/>
          <w:sz w:val="28"/>
          <w:szCs w:val="28"/>
        </w:rPr>
        <w:t>в обосновании НМЦК реквизитов источников ценовой информации, которые были использованы при определении НМЦК (включая реквизиты ответов поставщиков, подрядчиков, исполнителей на запрос ценовой информации, контракты в реестре контрактов), в соответствии с информацией, указанной в этих источниках.</w:t>
      </w:r>
    </w:p>
    <w:p w:rsidR="006C2C8A" w:rsidRDefault="006C2C8A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2C8A">
        <w:rPr>
          <w:rFonts w:ascii="Times New Roman" w:hAnsi="Times New Roman" w:cs="Times New Roman"/>
          <w:sz w:val="28"/>
          <w:szCs w:val="28"/>
        </w:rPr>
        <w:t xml:space="preserve">Результаты расчета </w:t>
      </w:r>
      <w:proofErr w:type="spellStart"/>
      <w:r w:rsidRPr="006C2C8A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Pr="006C2C8A">
        <w:rPr>
          <w:rFonts w:ascii="Times New Roman" w:hAnsi="Times New Roman" w:cs="Times New Roman"/>
          <w:sz w:val="28"/>
          <w:szCs w:val="28"/>
        </w:rPr>
        <w:t xml:space="preserve"> по данным </w:t>
      </w:r>
      <w:proofErr w:type="spellStart"/>
      <w:r w:rsidRPr="006C2C8A">
        <w:rPr>
          <w:rFonts w:ascii="Times New Roman" w:hAnsi="Times New Roman" w:cs="Times New Roman"/>
          <w:sz w:val="28"/>
          <w:szCs w:val="28"/>
        </w:rPr>
        <w:t>ЕИС</w:t>
      </w:r>
      <w:proofErr w:type="spellEnd"/>
      <w:r w:rsidRPr="006C2C8A">
        <w:rPr>
          <w:rFonts w:ascii="Times New Roman" w:hAnsi="Times New Roman" w:cs="Times New Roman"/>
          <w:sz w:val="28"/>
          <w:szCs w:val="28"/>
        </w:rPr>
        <w:t xml:space="preserve">, полученные в ходе мониторинга, оформляются специалистами Уполномоченного органа (Уполномоченного учреждения) в электронном виде с указанием источников информации, используемых в целях проведения мониторинга </w:t>
      </w:r>
      <w:proofErr w:type="spellStart"/>
      <w:r w:rsidRPr="006C2C8A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Pr="006C2C8A">
        <w:rPr>
          <w:rFonts w:ascii="Times New Roman" w:hAnsi="Times New Roman" w:cs="Times New Roman"/>
          <w:sz w:val="28"/>
          <w:szCs w:val="28"/>
        </w:rPr>
        <w:t>, и реквизитов контрактов, принятых для расчета.</w:t>
      </w:r>
    </w:p>
    <w:p w:rsidR="006C2C8A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2C8A">
        <w:rPr>
          <w:rFonts w:ascii="Times New Roman" w:hAnsi="Times New Roman" w:cs="Times New Roman"/>
          <w:sz w:val="28"/>
          <w:szCs w:val="28"/>
        </w:rPr>
        <w:t xml:space="preserve">В случае если в результате мониторинга НМЦК будет установлено превышение цены, указанной в заявке заказчика, над средней ценой, рассчитанной на основании данных из реестра контрактов ЕИС, на 25% (двадцать пять процентов) и более, </w:t>
      </w:r>
      <w:r w:rsidR="00FF7B79" w:rsidRPr="006C2C8A"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Pr="006C2C8A">
        <w:rPr>
          <w:rFonts w:ascii="Times New Roman" w:hAnsi="Times New Roman" w:cs="Times New Roman"/>
          <w:sz w:val="28"/>
          <w:szCs w:val="28"/>
        </w:rPr>
        <w:t xml:space="preserve"> возвращает заявку заказчику на доработку. Возврат заявки осуществляется в порядке, установленном Постановлением №47-па. </w:t>
      </w:r>
      <w:r w:rsidR="006C2C8A" w:rsidRPr="006C2C8A">
        <w:rPr>
          <w:rFonts w:ascii="Times New Roman" w:hAnsi="Times New Roman" w:cs="Times New Roman"/>
          <w:sz w:val="28"/>
          <w:szCs w:val="28"/>
        </w:rPr>
        <w:t>Отзыв заявки заказчиком приводит к прекращению ее рассмотрения Уполномоченным органом (Уполномоченным учреждением).</w:t>
      </w:r>
    </w:p>
    <w:p w:rsidR="006C2C8A" w:rsidRPr="001547E9" w:rsidRDefault="006C2C8A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011">
        <w:rPr>
          <w:rFonts w:ascii="Times New Roman" w:hAnsi="Times New Roman" w:cs="Times New Roman"/>
          <w:sz w:val="28"/>
          <w:szCs w:val="28"/>
        </w:rPr>
        <w:lastRenderedPageBreak/>
        <w:t xml:space="preserve">В целях исключения </w:t>
      </w:r>
      <w:r>
        <w:rPr>
          <w:rFonts w:ascii="Times New Roman" w:hAnsi="Times New Roman" w:cs="Times New Roman"/>
          <w:sz w:val="28"/>
          <w:szCs w:val="28"/>
        </w:rPr>
        <w:t xml:space="preserve">недобросовестного </w:t>
      </w:r>
      <w:r w:rsidRPr="00D35011">
        <w:rPr>
          <w:rFonts w:ascii="Times New Roman" w:hAnsi="Times New Roman" w:cs="Times New Roman"/>
          <w:sz w:val="28"/>
          <w:szCs w:val="28"/>
        </w:rPr>
        <w:t xml:space="preserve">влияния </w:t>
      </w:r>
      <w:proofErr w:type="spellStart"/>
      <w:r w:rsidRPr="00D35011">
        <w:rPr>
          <w:rFonts w:ascii="Times New Roman" w:hAnsi="Times New Roman" w:cs="Times New Roman"/>
          <w:sz w:val="28"/>
          <w:szCs w:val="28"/>
        </w:rPr>
        <w:t>аффилирован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D35011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 на ценовую информацию, используемую заказчиком при определении НМЦК, </w:t>
      </w:r>
      <w:r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Pr="00D35011"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Pr="001547E9">
        <w:rPr>
          <w:rFonts w:ascii="Times New Roman" w:hAnsi="Times New Roman" w:cs="Times New Roman"/>
          <w:sz w:val="28"/>
          <w:szCs w:val="28"/>
        </w:rPr>
        <w:t xml:space="preserve">взаимосвязи </w:t>
      </w:r>
      <w:r w:rsidRPr="00D35011">
        <w:rPr>
          <w:rFonts w:ascii="Times New Roman" w:hAnsi="Times New Roman" w:cs="Times New Roman"/>
          <w:sz w:val="28"/>
          <w:szCs w:val="28"/>
        </w:rPr>
        <w:t>поставщиков (подрядчиков, исполнителей)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7E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547E9">
        <w:rPr>
          <w:rFonts w:ascii="Times New Roman" w:hAnsi="Times New Roman" w:cs="Times New Roman"/>
          <w:sz w:val="28"/>
          <w:szCs w:val="28"/>
        </w:rPr>
        <w:t>аффилированность</w:t>
      </w:r>
      <w:proofErr w:type="spellEnd"/>
      <w:r w:rsidRPr="001547E9">
        <w:rPr>
          <w:rFonts w:ascii="Times New Roman" w:hAnsi="Times New Roman" w:cs="Times New Roman"/>
          <w:sz w:val="28"/>
          <w:szCs w:val="28"/>
        </w:rPr>
        <w:t xml:space="preserve"> лиц в соответствии Законом РСФСР от 22.03.1991 № 948-1 «О конкуренции и ограничении монополистической деятельности на товарных рынках».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A3" w:rsidRDefault="006C2C8A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2C8A">
        <w:rPr>
          <w:rFonts w:ascii="Times New Roman" w:hAnsi="Times New Roman" w:cs="Times New Roman"/>
          <w:sz w:val="28"/>
          <w:szCs w:val="28"/>
        </w:rPr>
        <w:t xml:space="preserve">В случае если в результате мониторинга </w:t>
      </w:r>
      <w:proofErr w:type="spellStart"/>
      <w:r w:rsidRPr="006C2C8A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Pr="006C2C8A">
        <w:rPr>
          <w:rFonts w:ascii="Times New Roman" w:hAnsi="Times New Roman" w:cs="Times New Roman"/>
          <w:sz w:val="28"/>
          <w:szCs w:val="28"/>
        </w:rPr>
        <w:t xml:space="preserve"> Уполномоченным органом (Уполномоченным учреждением) будут выявлены признаки </w:t>
      </w:r>
      <w:proofErr w:type="spellStart"/>
      <w:r w:rsidRPr="006C2C8A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2C8A">
        <w:rPr>
          <w:rFonts w:ascii="Times New Roman" w:hAnsi="Times New Roman" w:cs="Times New Roman"/>
          <w:sz w:val="28"/>
          <w:szCs w:val="28"/>
        </w:rPr>
        <w:t xml:space="preserve"> между поставщиками (подрядчиками, исполнителями) в соответствии с пунктом 1</w:t>
      </w:r>
      <w:r w:rsidR="00FF3B2B">
        <w:rPr>
          <w:rFonts w:ascii="Times New Roman" w:hAnsi="Times New Roman" w:cs="Times New Roman"/>
          <w:sz w:val="28"/>
          <w:szCs w:val="28"/>
        </w:rPr>
        <w:t>7</w:t>
      </w:r>
      <w:r w:rsidRPr="006C2C8A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указывающие на возможное недобросовестное влияние на формирование начальной (максимальной) цены контракта, включая признаки необоснованного завышения или занижения такой цены, сужения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2C8A">
        <w:rPr>
          <w:rFonts w:ascii="Times New Roman" w:hAnsi="Times New Roman" w:cs="Times New Roman"/>
          <w:sz w:val="28"/>
          <w:szCs w:val="28"/>
        </w:rPr>
        <w:t xml:space="preserve"> ограничения круга характеристик товаров, работ, услуг, удовлетворяющих потребностям заказчика, расширения, ограничения, упрощения или усложнения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6C2C8A">
        <w:rPr>
          <w:rFonts w:ascii="Times New Roman" w:hAnsi="Times New Roman" w:cs="Times New Roman"/>
          <w:sz w:val="28"/>
          <w:szCs w:val="28"/>
        </w:rPr>
        <w:t>необходимых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C8A"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="00AE630A">
        <w:rPr>
          <w:rFonts w:ascii="Times New Roman" w:hAnsi="Times New Roman" w:cs="Times New Roman"/>
          <w:sz w:val="28"/>
          <w:szCs w:val="28"/>
        </w:rPr>
        <w:t xml:space="preserve">необоснованных </w:t>
      </w:r>
      <w:r w:rsidRPr="006C2C8A">
        <w:rPr>
          <w:rFonts w:ascii="Times New Roman" w:hAnsi="Times New Roman" w:cs="Times New Roman"/>
          <w:sz w:val="28"/>
          <w:szCs w:val="28"/>
        </w:rPr>
        <w:t xml:space="preserve">преимуществ для </w:t>
      </w:r>
      <w:r w:rsidR="00AE630A">
        <w:rPr>
          <w:rFonts w:ascii="Times New Roman" w:hAnsi="Times New Roman" w:cs="Times New Roman"/>
          <w:sz w:val="28"/>
          <w:szCs w:val="28"/>
        </w:rPr>
        <w:t>участника закупки</w:t>
      </w:r>
      <w:r w:rsidRPr="006C2C8A">
        <w:rPr>
          <w:rFonts w:ascii="Times New Roman" w:hAnsi="Times New Roman" w:cs="Times New Roman"/>
          <w:sz w:val="28"/>
          <w:szCs w:val="28"/>
        </w:rPr>
        <w:t xml:space="preserve">, Уполномоченный орган (Уполномоченное учреждение) возвращает заявку заказчику на доработку с подробным описанием выявленных признаков </w:t>
      </w:r>
      <w:proofErr w:type="spellStart"/>
      <w:r w:rsidRPr="006C2C8A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2C8A">
        <w:rPr>
          <w:rFonts w:ascii="Times New Roman" w:hAnsi="Times New Roman" w:cs="Times New Roman"/>
          <w:sz w:val="28"/>
          <w:szCs w:val="28"/>
        </w:rPr>
        <w:t xml:space="preserve"> и обстоятельств, свидетельствующих о возможном нарушении требований Федерального закона № 44-ФЗ. </w:t>
      </w:r>
    </w:p>
    <w:p w:rsidR="006C2C8A" w:rsidRDefault="00404EA3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4EA3">
        <w:rPr>
          <w:rFonts w:ascii="Times New Roman" w:hAnsi="Times New Roman" w:cs="Times New Roman"/>
          <w:sz w:val="28"/>
          <w:szCs w:val="28"/>
        </w:rPr>
        <w:t>Заказчик обязан  провести тщательную проверку обстоятельств, послуживших основанием для возврата заявки, и принять исчерпывающие меры, направленные на обеспечение соблюдения требований Федерального зак</w:t>
      </w:r>
      <w:r w:rsidR="00AE630A">
        <w:rPr>
          <w:rFonts w:ascii="Times New Roman" w:hAnsi="Times New Roman" w:cs="Times New Roman"/>
          <w:sz w:val="28"/>
          <w:szCs w:val="28"/>
        </w:rPr>
        <w:t>она № 44-ФЗ</w:t>
      </w:r>
      <w:r w:rsidRPr="00404EA3">
        <w:rPr>
          <w:rFonts w:ascii="Times New Roman" w:hAnsi="Times New Roman" w:cs="Times New Roman"/>
          <w:sz w:val="28"/>
          <w:szCs w:val="28"/>
        </w:rPr>
        <w:t xml:space="preserve">, в том числе меры по предотвращению (устранению) необоснованного завышения начальной (максимальной) цены контракта, а также устранению иных нарушений, связанных с недобросовестным использованием </w:t>
      </w:r>
      <w:proofErr w:type="spellStart"/>
      <w:r w:rsidRPr="00404EA3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404EA3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исполнителей).</w:t>
      </w:r>
    </w:p>
    <w:p w:rsidR="00E20B6E" w:rsidRPr="006C2C8A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2C8A">
        <w:rPr>
          <w:rFonts w:ascii="Times New Roman" w:hAnsi="Times New Roman" w:cs="Times New Roman"/>
          <w:sz w:val="28"/>
          <w:szCs w:val="28"/>
        </w:rPr>
        <w:t xml:space="preserve">ОКУ </w:t>
      </w:r>
      <w:proofErr w:type="spellStart"/>
      <w:r w:rsidRPr="006C2C8A">
        <w:rPr>
          <w:rFonts w:ascii="Times New Roman" w:hAnsi="Times New Roman" w:cs="Times New Roman"/>
          <w:sz w:val="28"/>
          <w:szCs w:val="28"/>
        </w:rPr>
        <w:t>ЦЗКО</w:t>
      </w:r>
      <w:proofErr w:type="spellEnd"/>
      <w:r w:rsidRPr="006C2C8A">
        <w:rPr>
          <w:rFonts w:ascii="Times New Roman" w:hAnsi="Times New Roman" w:cs="Times New Roman"/>
          <w:sz w:val="28"/>
          <w:szCs w:val="28"/>
        </w:rPr>
        <w:t xml:space="preserve"> ежемесячно, не позднее 5-го числа месяца, следующего за отчетным, направляет в Министерство </w:t>
      </w:r>
      <w:r w:rsidR="006849F0">
        <w:rPr>
          <w:rFonts w:ascii="Times New Roman" w:hAnsi="Times New Roman" w:cs="Times New Roman"/>
          <w:sz w:val="28"/>
          <w:szCs w:val="28"/>
        </w:rPr>
        <w:t>информацию</w:t>
      </w:r>
      <w:r w:rsidRPr="006C2C8A">
        <w:rPr>
          <w:rFonts w:ascii="Times New Roman" w:hAnsi="Times New Roman" w:cs="Times New Roman"/>
          <w:sz w:val="28"/>
          <w:szCs w:val="28"/>
        </w:rPr>
        <w:t xml:space="preserve"> о результатах мониторинга обоснованности формирования НМЦК, по форме, установленной в приложении к настоящему Порядку.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Информация о результатах мониторинга НМЦК ежемесячно доводится </w:t>
      </w:r>
      <w:r w:rsidR="009C705E" w:rsidRPr="00195C8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195C88">
        <w:rPr>
          <w:rFonts w:ascii="Times New Roman" w:hAnsi="Times New Roman" w:cs="Times New Roman"/>
          <w:sz w:val="28"/>
          <w:szCs w:val="28"/>
        </w:rPr>
        <w:t xml:space="preserve">до сведения главных распорядителей средств областного бюджета в отношении подведомственных им заказчиков, </w:t>
      </w:r>
      <w:r w:rsidRPr="00195C88">
        <w:rPr>
          <w:rFonts w:ascii="Times New Roman" w:hAnsi="Times New Roman" w:cs="Times New Roman"/>
          <w:sz w:val="28"/>
          <w:szCs w:val="28"/>
        </w:rPr>
        <w:lastRenderedPageBreak/>
        <w:t>допустивших при формировании НМЦК отклонение от средней цены из реестра контрактов ЕИС на 25% (двадцать пять процентов) и более.</w:t>
      </w:r>
    </w:p>
    <w:p w:rsidR="00E20B6E" w:rsidRPr="00195C88" w:rsidRDefault="00E20B6E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Данные мониторинга НМЦК хранятся в электронном виде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Уполномоченным органом (Уполномоченным учреждением)</w:t>
      </w:r>
      <w:r w:rsidRPr="00195C88">
        <w:rPr>
          <w:rFonts w:ascii="Times New Roman" w:hAnsi="Times New Roman" w:cs="Times New Roman"/>
          <w:sz w:val="28"/>
          <w:szCs w:val="28"/>
        </w:rPr>
        <w:t xml:space="preserve"> не менее трех лет.</w:t>
      </w:r>
    </w:p>
    <w:p w:rsidR="00E20B6E" w:rsidRPr="00195C88" w:rsidRDefault="00FF7B79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и обоснованность результатов мониторинга НМЦК в соответствии с действующим законодательством Российской Федерации.</w:t>
      </w:r>
    </w:p>
    <w:p w:rsidR="006849F0" w:rsidRDefault="00A02F9B" w:rsidP="0023798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C88">
        <w:rPr>
          <w:rFonts w:ascii="Times New Roman" w:hAnsi="Times New Roman" w:cs="Times New Roman"/>
          <w:b/>
          <w:sz w:val="28"/>
          <w:szCs w:val="28"/>
        </w:rPr>
        <w:t>IV</w:t>
      </w:r>
      <w:proofErr w:type="spellEnd"/>
      <w:r w:rsidRPr="00195C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7B79">
        <w:rPr>
          <w:rFonts w:ascii="Times New Roman" w:hAnsi="Times New Roman" w:cs="Times New Roman"/>
          <w:b/>
          <w:sz w:val="28"/>
          <w:szCs w:val="28"/>
        </w:rPr>
        <w:t>Антикоррупционные требования</w:t>
      </w:r>
    </w:p>
    <w:p w:rsidR="00A02F9B" w:rsidRPr="00195C88" w:rsidRDefault="00DC3776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При осуществлении мониторинга НМЦК</w:t>
      </w:r>
      <w:r w:rsidR="00A02F9B" w:rsidRPr="00195C88">
        <w:rPr>
          <w:rFonts w:ascii="Times New Roman" w:hAnsi="Times New Roman" w:cs="Times New Roman"/>
          <w:sz w:val="28"/>
          <w:szCs w:val="28"/>
        </w:rPr>
        <w:t>, устанавливаются следующие требования</w:t>
      </w:r>
      <w:r w:rsidRPr="00195C88">
        <w:rPr>
          <w:rFonts w:ascii="Times New Roman" w:hAnsi="Times New Roman" w:cs="Times New Roman"/>
          <w:sz w:val="28"/>
          <w:szCs w:val="28"/>
        </w:rPr>
        <w:t xml:space="preserve"> по соблюдению </w:t>
      </w:r>
      <w:proofErr w:type="spellStart"/>
      <w:r w:rsidRPr="00195C88">
        <w:rPr>
          <w:rFonts w:ascii="Times New Roman" w:hAnsi="Times New Roman" w:cs="Times New Roman"/>
          <w:sz w:val="28"/>
          <w:szCs w:val="28"/>
        </w:rPr>
        <w:t>антикоррупционого</w:t>
      </w:r>
      <w:proofErr w:type="spellEnd"/>
      <w:r w:rsidRPr="00195C88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Федерации.</w:t>
      </w:r>
    </w:p>
    <w:p w:rsidR="00A02F9B" w:rsidRPr="00195C88" w:rsidRDefault="00A02F9B" w:rsidP="00237985">
      <w:pPr>
        <w:pStyle w:val="a3"/>
        <w:numPr>
          <w:ilvl w:val="0"/>
          <w:numId w:val="9"/>
        </w:numPr>
        <w:tabs>
          <w:tab w:val="left" w:pos="132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В целях предупреждения коррупции в сфере закупок </w:t>
      </w:r>
      <w:r w:rsidR="00FF7B79">
        <w:rPr>
          <w:rFonts w:ascii="Times New Roman" w:hAnsi="Times New Roman" w:cs="Times New Roman"/>
          <w:sz w:val="28"/>
          <w:szCs w:val="28"/>
        </w:rPr>
        <w:t>Уполномоченный орган (Уполномоченное учреждение)</w:t>
      </w:r>
      <w:r w:rsidR="00993207" w:rsidRPr="00195C88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195C88">
        <w:rPr>
          <w:rFonts w:ascii="Times New Roman" w:hAnsi="Times New Roman" w:cs="Times New Roman"/>
          <w:sz w:val="28"/>
          <w:szCs w:val="28"/>
        </w:rPr>
        <w:t>:</w:t>
      </w:r>
    </w:p>
    <w:p w:rsidR="00A02F9B" w:rsidRPr="00237985" w:rsidRDefault="00A02F9B" w:rsidP="00237985">
      <w:pPr>
        <w:pStyle w:val="a3"/>
        <w:numPr>
          <w:ilvl w:val="1"/>
          <w:numId w:val="10"/>
        </w:numPr>
        <w:tabs>
          <w:tab w:val="left" w:pos="1540"/>
        </w:tabs>
        <w:spacing w:before="120" w:after="120" w:line="276" w:lineRule="auto"/>
        <w:ind w:left="0" w:firstLine="7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7985">
        <w:rPr>
          <w:rFonts w:ascii="Times New Roman" w:hAnsi="Times New Roman" w:cs="Times New Roman"/>
          <w:sz w:val="28"/>
          <w:szCs w:val="28"/>
        </w:rPr>
        <w:t xml:space="preserve"> Обеспечивать открытость и прозрачность </w:t>
      </w:r>
      <w:r w:rsidR="00F274FF" w:rsidRPr="00237985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237985">
        <w:rPr>
          <w:rFonts w:ascii="Times New Roman" w:hAnsi="Times New Roman" w:cs="Times New Roman"/>
          <w:sz w:val="28"/>
          <w:szCs w:val="28"/>
        </w:rPr>
        <w:t>закупочных процедур</w:t>
      </w:r>
      <w:r w:rsidR="00F274FF" w:rsidRPr="00237985">
        <w:rPr>
          <w:rFonts w:ascii="Times New Roman" w:hAnsi="Times New Roman" w:cs="Times New Roman"/>
          <w:sz w:val="28"/>
          <w:szCs w:val="28"/>
        </w:rPr>
        <w:t>ах</w:t>
      </w:r>
      <w:r w:rsidRPr="0023798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№ 44-ФЗ.</w:t>
      </w:r>
    </w:p>
    <w:p w:rsidR="00A02F9B" w:rsidRPr="00195C88" w:rsidRDefault="00A02F9B" w:rsidP="00237985">
      <w:pPr>
        <w:pStyle w:val="a3"/>
        <w:numPr>
          <w:ilvl w:val="1"/>
          <w:numId w:val="10"/>
        </w:numPr>
        <w:tabs>
          <w:tab w:val="left" w:pos="1540"/>
        </w:tabs>
        <w:spacing w:before="120" w:after="120" w:line="276" w:lineRule="auto"/>
        <w:ind w:left="0" w:firstLine="7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Обеспечивать условия, исключающие дискриминацию и необоснованные ограничения конкуренции, в соответствии с требованиями статьи 8 Федерального закона от 26.07.2006 № 135-ФЗ «О защите конкуренции».</w:t>
      </w:r>
    </w:p>
    <w:p w:rsidR="00A02F9B" w:rsidRPr="00195C88" w:rsidRDefault="00A02F9B" w:rsidP="00237985">
      <w:pPr>
        <w:pStyle w:val="a3"/>
        <w:numPr>
          <w:ilvl w:val="1"/>
          <w:numId w:val="10"/>
        </w:numPr>
        <w:tabs>
          <w:tab w:val="left" w:pos="1540"/>
        </w:tabs>
        <w:spacing w:before="120" w:after="120" w:line="276" w:lineRule="auto"/>
        <w:ind w:left="0" w:firstLine="7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Принимать меры по предотвращению конфликта интересов и злоупотреблений в сфере закупок, в соответствии со статьей 13.3 Федерального закона от 25.12.2008 № 273-ФЗ «О противодействии коррупции».</w:t>
      </w:r>
    </w:p>
    <w:p w:rsidR="00A02F9B" w:rsidRPr="00195C88" w:rsidRDefault="00A02F9B" w:rsidP="00237985">
      <w:pPr>
        <w:pStyle w:val="a3"/>
        <w:numPr>
          <w:ilvl w:val="1"/>
          <w:numId w:val="10"/>
        </w:numPr>
        <w:tabs>
          <w:tab w:val="left" w:pos="1540"/>
        </w:tabs>
        <w:spacing w:before="120" w:after="120" w:line="276" w:lineRule="auto"/>
        <w:ind w:left="0" w:firstLine="7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 xml:space="preserve">Осуществлять контроль за соблюдением требований </w:t>
      </w:r>
      <w:proofErr w:type="spellStart"/>
      <w:r w:rsidRPr="00195C88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195C88">
        <w:rPr>
          <w:rFonts w:ascii="Times New Roman" w:hAnsi="Times New Roman" w:cs="Times New Roman"/>
          <w:sz w:val="28"/>
          <w:szCs w:val="28"/>
        </w:rPr>
        <w:t xml:space="preserve"> законодательства при осуществлении закупок, в соответствии с Федеральным законом от 25.12.2008 № 273-ФЗ «О противодействии коррупции».</w:t>
      </w:r>
    </w:p>
    <w:p w:rsidR="00A02F9B" w:rsidRPr="00195C88" w:rsidRDefault="00AE630A" w:rsidP="00237985">
      <w:pPr>
        <w:pStyle w:val="a3"/>
        <w:numPr>
          <w:ilvl w:val="0"/>
          <w:numId w:val="9"/>
        </w:numPr>
        <w:tabs>
          <w:tab w:val="left" w:pos="1210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207" w:rsidRPr="00195C88">
        <w:rPr>
          <w:rFonts w:ascii="Times New Roman" w:hAnsi="Times New Roman" w:cs="Times New Roman"/>
          <w:sz w:val="28"/>
          <w:szCs w:val="28"/>
        </w:rPr>
        <w:t xml:space="preserve">При осуществлении мониторинга НМЦК </w:t>
      </w:r>
      <w:r w:rsidR="00A02F9B" w:rsidRPr="00195C88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FF7B79">
        <w:rPr>
          <w:rFonts w:ascii="Times New Roman" w:hAnsi="Times New Roman" w:cs="Times New Roman"/>
          <w:sz w:val="28"/>
          <w:szCs w:val="28"/>
        </w:rPr>
        <w:t>Уполномоченного органа (Уполномоченного учреждения)</w:t>
      </w:r>
      <w:r w:rsidR="00993207" w:rsidRPr="00195C88">
        <w:rPr>
          <w:rFonts w:ascii="Times New Roman" w:hAnsi="Times New Roman" w:cs="Times New Roman"/>
          <w:sz w:val="28"/>
          <w:szCs w:val="28"/>
        </w:rPr>
        <w:t xml:space="preserve"> руководствуются требованиями законодательства о противод</w:t>
      </w:r>
      <w:r w:rsidR="00B43647">
        <w:rPr>
          <w:rFonts w:ascii="Times New Roman" w:hAnsi="Times New Roman" w:cs="Times New Roman"/>
          <w:sz w:val="28"/>
          <w:szCs w:val="28"/>
        </w:rPr>
        <w:t>ействии коррупции, установленными</w:t>
      </w:r>
      <w:r w:rsidR="00993207" w:rsidRPr="00195C88">
        <w:rPr>
          <w:rFonts w:ascii="Times New Roman" w:hAnsi="Times New Roman" w:cs="Times New Roman"/>
          <w:sz w:val="28"/>
          <w:szCs w:val="28"/>
        </w:rPr>
        <w:t xml:space="preserve"> Федеральным законом от 25.12.2008 № 273-ФЗ «О противодействии коррупции», иными федеральными законами, нормативными </w:t>
      </w:r>
      <w:r w:rsidR="00993207" w:rsidRPr="00195C88">
        <w:rPr>
          <w:rFonts w:ascii="Times New Roman" w:hAnsi="Times New Roman" w:cs="Times New Roman"/>
          <w:sz w:val="28"/>
          <w:szCs w:val="28"/>
        </w:rPr>
        <w:lastRenderedPageBreak/>
        <w:t>правовыми актами и локальными актами в сфере противодействия коррупции, принятыми в учреждении.</w:t>
      </w:r>
    </w:p>
    <w:p w:rsidR="00993207" w:rsidRPr="006849F0" w:rsidRDefault="00993207" w:rsidP="00237985">
      <w:pPr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A02F9B" w:rsidRPr="00195C88" w:rsidRDefault="00A02F9B" w:rsidP="0023798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8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:rsidR="00E20B6E" w:rsidRPr="00195C88" w:rsidRDefault="00E20B6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88">
        <w:rPr>
          <w:rFonts w:ascii="Times New Roman" w:hAnsi="Times New Roman" w:cs="Times New Roman"/>
          <w:sz w:val="28"/>
          <w:szCs w:val="28"/>
        </w:rPr>
        <w:t>Изменения в настоящий Порядок вносятся приказом Министерства имущества Курской области.</w:t>
      </w:r>
    </w:p>
    <w:p w:rsidR="006849F0" w:rsidRDefault="006849F0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05E" w:rsidRPr="00195C88" w:rsidRDefault="009C705E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990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524990">
        <w:rPr>
          <w:rFonts w:ascii="Times New Roman" w:hAnsi="Times New Roman" w:cs="Times New Roman"/>
          <w:b/>
          <w:sz w:val="28"/>
          <w:szCs w:val="28"/>
        </w:rPr>
        <w:t>:</w:t>
      </w:r>
      <w:r w:rsidRPr="00195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667" w:rsidRDefault="00195C88" w:rsidP="00237985">
      <w:pPr>
        <w:spacing w:before="100"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C705E" w:rsidRPr="00195C88">
        <w:rPr>
          <w:rFonts w:ascii="Times New Roman" w:hAnsi="Times New Roman" w:cs="Times New Roman"/>
          <w:sz w:val="28"/>
          <w:szCs w:val="28"/>
        </w:rPr>
        <w:t xml:space="preserve"> </w:t>
      </w:r>
      <w:r w:rsidR="00E20B6E" w:rsidRPr="00195C88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F872F4" w:rsidRPr="00F872F4">
        <w:rPr>
          <w:rFonts w:ascii="Times New Roman" w:hAnsi="Times New Roman" w:cs="Times New Roman"/>
          <w:sz w:val="28"/>
          <w:szCs w:val="28"/>
        </w:rPr>
        <w:t>ежемесячной информации о результатах мониторинга обоснованности формирования начальных (максимальных) цен контрактов (</w:t>
      </w:r>
      <w:proofErr w:type="spellStart"/>
      <w:r w:rsidR="00F872F4" w:rsidRPr="00F872F4">
        <w:rPr>
          <w:rFonts w:ascii="Times New Roman" w:hAnsi="Times New Roman" w:cs="Times New Roman"/>
          <w:sz w:val="28"/>
          <w:szCs w:val="28"/>
        </w:rPr>
        <w:t>НМЦК</w:t>
      </w:r>
      <w:proofErr w:type="spellEnd"/>
      <w:r w:rsidR="00F872F4" w:rsidRPr="00F872F4">
        <w:rPr>
          <w:rFonts w:ascii="Times New Roman" w:hAnsi="Times New Roman" w:cs="Times New Roman"/>
          <w:sz w:val="28"/>
          <w:szCs w:val="28"/>
        </w:rPr>
        <w:t>) в заявках заказчиков, направляемой ОКУ «Центр закупок Курской области» в Министерство имущества Курской области</w:t>
      </w:r>
    </w:p>
    <w:p w:rsidR="00237985" w:rsidRDefault="00237985" w:rsidP="00237985">
      <w:pPr>
        <w:spacing w:before="100"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667" w:rsidRDefault="008B6667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667" w:rsidRDefault="008B6667" w:rsidP="0023798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B6667" w:rsidSect="006849F0">
          <w:footerReference w:type="default" r:id="rId9"/>
          <w:pgSz w:w="11906" w:h="16838"/>
          <w:pgMar w:top="1191" w:right="1191" w:bottom="1191" w:left="1191" w:header="709" w:footer="318" w:gutter="0"/>
          <w:pgNumType w:start="1"/>
          <w:cols w:space="708"/>
          <w:titlePg/>
          <w:docGrid w:linePitch="360"/>
        </w:sectPr>
      </w:pPr>
    </w:p>
    <w:p w:rsidR="00A6592E" w:rsidRPr="00A130EA" w:rsidRDefault="00CD6FEA" w:rsidP="00A130EA">
      <w:pPr>
        <w:spacing w:before="120" w:after="120" w:line="276" w:lineRule="auto"/>
        <w:ind w:left="11440"/>
        <w:rPr>
          <w:rFonts w:ascii="Times New Roman" w:hAnsi="Times New Roman" w:cs="Times New Roman"/>
          <w:sz w:val="24"/>
          <w:szCs w:val="28"/>
        </w:rPr>
      </w:pPr>
      <w:r w:rsidRPr="00A130EA">
        <w:rPr>
          <w:rFonts w:ascii="Times New Roman" w:hAnsi="Times New Roman" w:cs="Times New Roman"/>
          <w:b/>
          <w:sz w:val="24"/>
          <w:szCs w:val="28"/>
        </w:rPr>
        <w:lastRenderedPageBreak/>
        <w:t>Приложение</w:t>
      </w:r>
      <w:r w:rsidR="008B6667" w:rsidRPr="00A130E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B6667" w:rsidRPr="00A130EA" w:rsidRDefault="008B6667" w:rsidP="00A130EA">
      <w:pPr>
        <w:spacing w:before="120" w:after="120" w:line="276" w:lineRule="auto"/>
        <w:ind w:left="11440"/>
        <w:rPr>
          <w:rFonts w:ascii="Times New Roman" w:hAnsi="Times New Roman" w:cs="Times New Roman"/>
          <w:sz w:val="24"/>
          <w:szCs w:val="28"/>
        </w:rPr>
      </w:pPr>
      <w:r w:rsidRPr="00A130EA">
        <w:rPr>
          <w:rFonts w:ascii="Times New Roman" w:hAnsi="Times New Roman" w:cs="Times New Roman"/>
          <w:sz w:val="24"/>
          <w:szCs w:val="28"/>
        </w:rPr>
        <w:t>к Порядку мониторинга</w:t>
      </w:r>
      <w:r w:rsidR="00A6592E" w:rsidRPr="00A130E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6592E" w:rsidRPr="00A130EA">
        <w:rPr>
          <w:rFonts w:ascii="Times New Roman" w:hAnsi="Times New Roman" w:cs="Times New Roman"/>
          <w:sz w:val="24"/>
          <w:szCs w:val="28"/>
        </w:rPr>
        <w:t>НМЦК</w:t>
      </w:r>
      <w:proofErr w:type="spellEnd"/>
    </w:p>
    <w:p w:rsidR="00A130EA" w:rsidRDefault="00A130EA" w:rsidP="00A6592E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B6667" w:rsidRPr="00A130EA" w:rsidRDefault="008B6667" w:rsidP="00A6592E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130EA">
        <w:rPr>
          <w:rFonts w:ascii="Times New Roman" w:hAnsi="Times New Roman" w:cs="Times New Roman"/>
          <w:sz w:val="24"/>
          <w:szCs w:val="28"/>
        </w:rPr>
        <w:t>ФОРМА</w:t>
      </w:r>
    </w:p>
    <w:p w:rsidR="00CD6FEA" w:rsidRPr="00A130EA" w:rsidRDefault="00CD6FEA" w:rsidP="00A6592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D6FEA" w:rsidRPr="00A130EA" w:rsidRDefault="00CD6FEA" w:rsidP="00A6592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0EA">
        <w:rPr>
          <w:rFonts w:ascii="Times New Roman" w:hAnsi="Times New Roman" w:cs="Times New Roman"/>
          <w:sz w:val="24"/>
          <w:szCs w:val="24"/>
        </w:rPr>
        <w:t xml:space="preserve">о результатах мониторинга обоснованности формирования начальных (максимальных) цен контрактов (НМЦК) в заявках заказчиков, направляемая ОКУ </w:t>
      </w:r>
      <w:r w:rsidR="00E85D23" w:rsidRPr="00A130EA">
        <w:rPr>
          <w:rFonts w:ascii="Times New Roman" w:hAnsi="Times New Roman" w:cs="Times New Roman"/>
          <w:sz w:val="24"/>
          <w:szCs w:val="24"/>
        </w:rPr>
        <w:t>«</w:t>
      </w:r>
      <w:r w:rsidRPr="00A130EA">
        <w:rPr>
          <w:rFonts w:ascii="Times New Roman" w:hAnsi="Times New Roman" w:cs="Times New Roman"/>
          <w:sz w:val="24"/>
          <w:szCs w:val="24"/>
        </w:rPr>
        <w:t>Центр закупок Курской области</w:t>
      </w:r>
      <w:r w:rsidR="00E85D23" w:rsidRPr="00A130EA">
        <w:rPr>
          <w:rFonts w:ascii="Times New Roman" w:hAnsi="Times New Roman" w:cs="Times New Roman"/>
          <w:sz w:val="24"/>
          <w:szCs w:val="24"/>
        </w:rPr>
        <w:t>»</w:t>
      </w:r>
      <w:r w:rsidRPr="00A130EA">
        <w:rPr>
          <w:rFonts w:ascii="Times New Roman" w:hAnsi="Times New Roman" w:cs="Times New Roman"/>
          <w:sz w:val="24"/>
          <w:szCs w:val="24"/>
        </w:rPr>
        <w:t xml:space="preserve"> в Министерство имущества Курской области</w:t>
      </w:r>
    </w:p>
    <w:p w:rsidR="00CD6FEA" w:rsidRDefault="00B14342" w:rsidP="00A130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130EA">
        <w:rPr>
          <w:rFonts w:ascii="Times New Roman" w:hAnsi="Times New Roman" w:cs="Times New Roman"/>
          <w:szCs w:val="24"/>
        </w:rPr>
        <w:t>за _____________</w:t>
      </w:r>
      <w:proofErr w:type="spellStart"/>
      <w:r w:rsidRPr="00A130EA">
        <w:rPr>
          <w:rFonts w:ascii="Times New Roman" w:hAnsi="Times New Roman" w:cs="Times New Roman"/>
          <w:szCs w:val="24"/>
        </w:rPr>
        <w:t>20___</w:t>
      </w:r>
      <w:r w:rsidR="00CD6FEA" w:rsidRPr="00A130EA">
        <w:rPr>
          <w:rFonts w:ascii="Times New Roman" w:hAnsi="Times New Roman" w:cs="Times New Roman"/>
          <w:szCs w:val="24"/>
        </w:rPr>
        <w:t>год</w:t>
      </w:r>
      <w:r w:rsidRPr="00A130EA">
        <w:rPr>
          <w:rFonts w:ascii="Times New Roman" w:hAnsi="Times New Roman" w:cs="Times New Roman"/>
          <w:szCs w:val="24"/>
        </w:rPr>
        <w:t>а</w:t>
      </w:r>
      <w:proofErr w:type="spellEnd"/>
    </w:p>
    <w:p w:rsidR="00A130EA" w:rsidRPr="00A130EA" w:rsidRDefault="00A130EA" w:rsidP="00A130EA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(месяц)</w:t>
      </w:r>
    </w:p>
    <w:tbl>
      <w:tblPr>
        <w:tblStyle w:val="a4"/>
        <w:tblW w:w="5000" w:type="pct"/>
        <w:tblLayout w:type="fixed"/>
        <w:tblLook w:val="04A0"/>
      </w:tblPr>
      <w:tblGrid>
        <w:gridCol w:w="1099"/>
        <w:gridCol w:w="2087"/>
        <w:gridCol w:w="1542"/>
        <w:gridCol w:w="1260"/>
        <w:gridCol w:w="1899"/>
        <w:gridCol w:w="2123"/>
        <w:gridCol w:w="2090"/>
        <w:gridCol w:w="3044"/>
      </w:tblGrid>
      <w:tr w:rsidR="008B6667" w:rsidRPr="00A130EA" w:rsidTr="00A130EA">
        <w:trPr>
          <w:trHeight w:val="813"/>
        </w:trPr>
        <w:tc>
          <w:tcPr>
            <w:tcW w:w="363" w:type="pct"/>
          </w:tcPr>
          <w:p w:rsidR="008B6667" w:rsidRPr="00A130EA" w:rsidRDefault="008B6667" w:rsidP="00237985">
            <w:pPr>
              <w:spacing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r w:rsidRPr="00A130EA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r w:rsidRPr="00A130EA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130EA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689" w:type="pct"/>
          </w:tcPr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Наименование заказчика</w:t>
            </w:r>
          </w:p>
        </w:tc>
        <w:tc>
          <w:tcPr>
            <w:tcW w:w="509" w:type="pct"/>
          </w:tcPr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Предмет контракта</w:t>
            </w:r>
          </w:p>
        </w:tc>
        <w:tc>
          <w:tcPr>
            <w:tcW w:w="415" w:type="pct"/>
          </w:tcPr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30EA">
              <w:rPr>
                <w:rFonts w:ascii="Times New Roman" w:hAnsi="Times New Roman" w:cs="Times New Roman"/>
                <w:szCs w:val="24"/>
              </w:rPr>
              <w:t>ИКЗ</w:t>
            </w:r>
            <w:proofErr w:type="spellEnd"/>
          </w:p>
        </w:tc>
        <w:tc>
          <w:tcPr>
            <w:tcW w:w="627" w:type="pct"/>
          </w:tcPr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30EA">
              <w:rPr>
                <w:rFonts w:ascii="Times New Roman" w:hAnsi="Times New Roman" w:cs="Times New Roman"/>
                <w:szCs w:val="24"/>
              </w:rPr>
              <w:t>НМЦК</w:t>
            </w:r>
            <w:proofErr w:type="spellEnd"/>
            <w:r w:rsidRPr="00A130EA">
              <w:rPr>
                <w:rFonts w:ascii="Times New Roman" w:hAnsi="Times New Roman" w:cs="Times New Roman"/>
                <w:szCs w:val="24"/>
              </w:rPr>
              <w:t>, руб.</w:t>
            </w:r>
          </w:p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</w:tcPr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Выявленные отклонения</w:t>
            </w:r>
            <w:r w:rsidRPr="00A130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A130EA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1</w:t>
            </w:r>
          </w:p>
        </w:tc>
        <w:tc>
          <w:tcPr>
            <w:tcW w:w="690" w:type="pct"/>
          </w:tcPr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Предпринятые меры</w:t>
            </w:r>
            <w:r w:rsidRPr="00A130EA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 xml:space="preserve"> 2</w:t>
            </w:r>
          </w:p>
        </w:tc>
        <w:tc>
          <w:tcPr>
            <w:tcW w:w="1005" w:type="pct"/>
          </w:tcPr>
          <w:p w:rsidR="008B6667" w:rsidRPr="00A130EA" w:rsidRDefault="008B6667" w:rsidP="0023798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 xml:space="preserve">Сумма экономии при формировании </w:t>
            </w:r>
            <w:proofErr w:type="spellStart"/>
            <w:r w:rsidRPr="00A130EA">
              <w:rPr>
                <w:rFonts w:ascii="Times New Roman" w:hAnsi="Times New Roman" w:cs="Times New Roman"/>
                <w:szCs w:val="24"/>
              </w:rPr>
              <w:t>НМЦК</w:t>
            </w:r>
            <w:proofErr w:type="spellEnd"/>
            <w:r w:rsidRPr="00A130EA">
              <w:rPr>
                <w:rFonts w:ascii="Times New Roman" w:hAnsi="Times New Roman" w:cs="Times New Roman"/>
                <w:szCs w:val="24"/>
              </w:rPr>
              <w:t>, руб.</w:t>
            </w:r>
          </w:p>
        </w:tc>
      </w:tr>
      <w:tr w:rsidR="008B6667" w:rsidRPr="00A130EA" w:rsidTr="006849F0">
        <w:trPr>
          <w:trHeight w:val="227"/>
        </w:trPr>
        <w:tc>
          <w:tcPr>
            <w:tcW w:w="363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89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15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1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90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005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8B6667" w:rsidRPr="00A130EA" w:rsidTr="006849F0">
        <w:trPr>
          <w:trHeight w:val="227"/>
        </w:trPr>
        <w:tc>
          <w:tcPr>
            <w:tcW w:w="363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1</w:t>
            </w:r>
            <w:r w:rsidR="00695036" w:rsidRPr="00A130E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89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5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0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5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667" w:rsidRPr="00A130EA" w:rsidTr="006849F0">
        <w:trPr>
          <w:trHeight w:val="227"/>
        </w:trPr>
        <w:tc>
          <w:tcPr>
            <w:tcW w:w="363" w:type="pct"/>
            <w:vAlign w:val="center"/>
          </w:tcPr>
          <w:p w:rsidR="008B6667" w:rsidRPr="00A130EA" w:rsidRDefault="008B6667" w:rsidP="0023798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2</w:t>
            </w:r>
            <w:r w:rsidR="00695036" w:rsidRPr="00A130E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89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5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0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5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6667" w:rsidRPr="00A130EA" w:rsidTr="006849F0">
        <w:trPr>
          <w:trHeight w:val="227"/>
        </w:trPr>
        <w:tc>
          <w:tcPr>
            <w:tcW w:w="363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 xml:space="preserve"> …</w:t>
            </w:r>
          </w:p>
        </w:tc>
        <w:tc>
          <w:tcPr>
            <w:tcW w:w="689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9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5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7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0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5" w:type="pct"/>
          </w:tcPr>
          <w:p w:rsidR="008B6667" w:rsidRPr="00A130EA" w:rsidRDefault="008B6667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B2AA9" w:rsidRPr="00A130EA" w:rsidTr="006849F0">
        <w:trPr>
          <w:trHeight w:val="227"/>
        </w:trPr>
        <w:tc>
          <w:tcPr>
            <w:tcW w:w="1977" w:type="pct"/>
            <w:gridSpan w:val="4"/>
          </w:tcPr>
          <w:p w:rsidR="000B2AA9" w:rsidRPr="00A130EA" w:rsidRDefault="000B2AA9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130EA">
              <w:rPr>
                <w:rFonts w:ascii="Times New Roman" w:hAnsi="Times New Roman" w:cs="Times New Roman"/>
                <w:szCs w:val="24"/>
              </w:rPr>
              <w:t>Итого:</w:t>
            </w:r>
          </w:p>
        </w:tc>
        <w:tc>
          <w:tcPr>
            <w:tcW w:w="627" w:type="pct"/>
          </w:tcPr>
          <w:p w:rsidR="000B2AA9" w:rsidRPr="00A130EA" w:rsidRDefault="000B2AA9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1" w:type="pct"/>
            <w:gridSpan w:val="2"/>
          </w:tcPr>
          <w:p w:rsidR="000B2AA9" w:rsidRPr="00A130EA" w:rsidRDefault="000B2AA9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5" w:type="pct"/>
          </w:tcPr>
          <w:p w:rsidR="000B2AA9" w:rsidRPr="00A130EA" w:rsidRDefault="000B2AA9" w:rsidP="0023798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24E3D" w:rsidRPr="0003514B" w:rsidRDefault="00424E3D" w:rsidP="00424E3D">
      <w:pPr>
        <w:spacing w:after="0" w:line="276" w:lineRule="auto"/>
        <w:ind w:left="550" w:hanging="550"/>
        <w:jc w:val="both"/>
        <w:rPr>
          <w:rFonts w:ascii="Times New Roman" w:hAnsi="Times New Roman" w:cs="Times New Roman"/>
          <w:sz w:val="18"/>
          <w:szCs w:val="24"/>
        </w:rPr>
      </w:pPr>
    </w:p>
    <w:p w:rsidR="00424E3D" w:rsidRPr="00A130EA" w:rsidRDefault="00424E3D" w:rsidP="00424E3D">
      <w:pPr>
        <w:tabs>
          <w:tab w:val="left" w:pos="2200"/>
          <w:tab w:val="left" w:pos="4950"/>
        </w:tabs>
        <w:spacing w:after="0" w:line="276" w:lineRule="auto"/>
        <w:ind w:left="550" w:hanging="550"/>
        <w:jc w:val="both"/>
        <w:rPr>
          <w:rFonts w:ascii="Times New Roman" w:hAnsi="Times New Roman" w:cs="Times New Roman"/>
          <w:b/>
          <w:szCs w:val="24"/>
        </w:rPr>
      </w:pPr>
      <w:r w:rsidRPr="00A130EA">
        <w:rPr>
          <w:rFonts w:ascii="Times New Roman" w:hAnsi="Times New Roman" w:cs="Times New Roman"/>
          <w:szCs w:val="24"/>
        </w:rPr>
        <w:t xml:space="preserve">Исполнитель   </w:t>
      </w:r>
      <w:r w:rsidRPr="00A130EA">
        <w:rPr>
          <w:rFonts w:ascii="Times New Roman" w:hAnsi="Times New Roman" w:cs="Times New Roman"/>
          <w:b/>
          <w:szCs w:val="24"/>
        </w:rPr>
        <w:t xml:space="preserve">___________________     </w:t>
      </w:r>
      <w:r w:rsidR="00A130EA" w:rsidRPr="00A130EA">
        <w:rPr>
          <w:rFonts w:ascii="Times New Roman" w:hAnsi="Times New Roman" w:cs="Times New Roman"/>
          <w:b/>
          <w:szCs w:val="24"/>
        </w:rPr>
        <w:t xml:space="preserve"> </w:t>
      </w:r>
      <w:r w:rsidRPr="00A130EA">
        <w:rPr>
          <w:rFonts w:ascii="Times New Roman" w:hAnsi="Times New Roman" w:cs="Times New Roman"/>
          <w:b/>
          <w:szCs w:val="24"/>
        </w:rPr>
        <w:t xml:space="preserve"> /_________________________ /</w:t>
      </w:r>
    </w:p>
    <w:p w:rsidR="00424E3D" w:rsidRPr="00A130EA" w:rsidRDefault="00424E3D" w:rsidP="00424E3D">
      <w:pPr>
        <w:pStyle w:val="ConsPlusNonformat"/>
        <w:widowControl/>
        <w:tabs>
          <w:tab w:val="left" w:pos="2200"/>
          <w:tab w:val="left" w:pos="4950"/>
        </w:tabs>
        <w:ind w:left="550" w:hanging="550"/>
        <w:jc w:val="both"/>
        <w:rPr>
          <w:rFonts w:ascii="Times New Roman" w:hAnsi="Times New Roman"/>
          <w:sz w:val="18"/>
          <w:szCs w:val="24"/>
        </w:rPr>
      </w:pPr>
      <w:r w:rsidRPr="00A130EA">
        <w:rPr>
          <w:rFonts w:ascii="Times New Roman" w:hAnsi="Times New Roman"/>
          <w:sz w:val="22"/>
          <w:szCs w:val="24"/>
        </w:rPr>
        <w:tab/>
      </w:r>
      <w:r w:rsidRPr="00A130EA">
        <w:rPr>
          <w:rFonts w:ascii="Times New Roman" w:hAnsi="Times New Roman"/>
          <w:sz w:val="22"/>
          <w:szCs w:val="24"/>
        </w:rPr>
        <w:tab/>
      </w:r>
      <w:r w:rsidRPr="00A130EA">
        <w:rPr>
          <w:rFonts w:ascii="Times New Roman" w:hAnsi="Times New Roman"/>
          <w:sz w:val="18"/>
          <w:szCs w:val="24"/>
        </w:rPr>
        <w:t>(подпись)</w:t>
      </w:r>
      <w:r w:rsidRPr="00A130EA">
        <w:rPr>
          <w:rFonts w:ascii="Times New Roman" w:hAnsi="Times New Roman"/>
          <w:sz w:val="18"/>
          <w:szCs w:val="24"/>
        </w:rPr>
        <w:tab/>
        <w:t>(Ф.И.О.)</w:t>
      </w:r>
    </w:p>
    <w:p w:rsidR="008B6667" w:rsidRPr="00DD7AD6" w:rsidRDefault="008B6667" w:rsidP="00424E3D">
      <w:pPr>
        <w:tabs>
          <w:tab w:val="left" w:pos="2200"/>
          <w:tab w:val="left" w:pos="4950"/>
        </w:tabs>
        <w:spacing w:after="0" w:line="276" w:lineRule="auto"/>
        <w:ind w:left="550" w:hanging="550"/>
        <w:jc w:val="both"/>
        <w:rPr>
          <w:rFonts w:ascii="Times New Roman" w:hAnsi="Times New Roman" w:cs="Times New Roman"/>
          <w:sz w:val="8"/>
          <w:szCs w:val="24"/>
          <w:lang w:val="en-US"/>
        </w:rPr>
      </w:pPr>
    </w:p>
    <w:p w:rsidR="00424E3D" w:rsidRPr="00A130EA" w:rsidRDefault="00424E3D" w:rsidP="00424E3D">
      <w:pPr>
        <w:tabs>
          <w:tab w:val="left" w:pos="2200"/>
          <w:tab w:val="left" w:pos="4950"/>
        </w:tabs>
        <w:spacing w:after="0" w:line="276" w:lineRule="auto"/>
        <w:ind w:left="550" w:hanging="550"/>
        <w:jc w:val="both"/>
        <w:rPr>
          <w:rFonts w:ascii="Times New Roman" w:hAnsi="Times New Roman" w:cs="Times New Roman"/>
          <w:b/>
          <w:szCs w:val="24"/>
        </w:rPr>
      </w:pPr>
      <w:r w:rsidRPr="00A130EA">
        <w:rPr>
          <w:rFonts w:ascii="Times New Roman" w:hAnsi="Times New Roman" w:cs="Times New Roman"/>
          <w:szCs w:val="24"/>
        </w:rPr>
        <w:t>Руководитель</w:t>
      </w:r>
      <w:r w:rsidRPr="00A130EA">
        <w:rPr>
          <w:rFonts w:ascii="Times New Roman" w:hAnsi="Times New Roman" w:cs="Times New Roman"/>
          <w:b/>
          <w:szCs w:val="24"/>
        </w:rPr>
        <w:t xml:space="preserve">     ___________________ </w:t>
      </w:r>
      <w:r w:rsidR="00A130EA" w:rsidRPr="00A130EA">
        <w:rPr>
          <w:rFonts w:ascii="Times New Roman" w:hAnsi="Times New Roman" w:cs="Times New Roman"/>
          <w:b/>
          <w:szCs w:val="24"/>
        </w:rPr>
        <w:t xml:space="preserve">     /________________________ </w:t>
      </w:r>
      <w:r w:rsidRPr="00A130EA">
        <w:rPr>
          <w:rFonts w:ascii="Times New Roman" w:hAnsi="Times New Roman" w:cs="Times New Roman"/>
          <w:b/>
          <w:szCs w:val="24"/>
        </w:rPr>
        <w:t>/</w:t>
      </w:r>
    </w:p>
    <w:p w:rsidR="00424E3D" w:rsidRPr="00A130EA" w:rsidRDefault="00424E3D" w:rsidP="00A130EA">
      <w:pPr>
        <w:pStyle w:val="ConsPlusNonformat"/>
        <w:widowControl/>
        <w:tabs>
          <w:tab w:val="left" w:pos="2200"/>
          <w:tab w:val="left" w:pos="4950"/>
        </w:tabs>
        <w:ind w:left="550" w:hanging="550"/>
        <w:jc w:val="both"/>
        <w:rPr>
          <w:rFonts w:ascii="Times New Roman" w:hAnsi="Times New Roman"/>
          <w:sz w:val="18"/>
          <w:szCs w:val="24"/>
        </w:rPr>
      </w:pPr>
      <w:r w:rsidRPr="00A130EA">
        <w:rPr>
          <w:rFonts w:ascii="Times New Roman" w:hAnsi="Times New Roman"/>
          <w:sz w:val="22"/>
          <w:szCs w:val="24"/>
        </w:rPr>
        <w:tab/>
      </w:r>
      <w:r w:rsidR="00A130EA" w:rsidRPr="00A130EA">
        <w:rPr>
          <w:rFonts w:ascii="Times New Roman" w:hAnsi="Times New Roman"/>
          <w:sz w:val="18"/>
          <w:szCs w:val="24"/>
        </w:rPr>
        <w:tab/>
      </w:r>
      <w:r w:rsidRPr="00A130EA">
        <w:rPr>
          <w:rFonts w:ascii="Times New Roman" w:hAnsi="Times New Roman"/>
          <w:sz w:val="18"/>
          <w:szCs w:val="24"/>
        </w:rPr>
        <w:t>(подпись)</w:t>
      </w:r>
      <w:r w:rsidRPr="00A130EA">
        <w:rPr>
          <w:rFonts w:ascii="Times New Roman" w:hAnsi="Times New Roman"/>
          <w:sz w:val="18"/>
          <w:szCs w:val="24"/>
        </w:rPr>
        <w:tab/>
        <w:t>(Ф.И.О.)</w:t>
      </w:r>
    </w:p>
    <w:p w:rsidR="00424E3D" w:rsidRPr="00A130EA" w:rsidRDefault="00424E3D" w:rsidP="00424E3D">
      <w:pPr>
        <w:pStyle w:val="ConsPlusNonformat"/>
        <w:widowControl/>
        <w:jc w:val="both"/>
        <w:rPr>
          <w:rFonts w:ascii="Times New Roman" w:hAnsi="Times New Roman"/>
          <w:sz w:val="22"/>
          <w:szCs w:val="24"/>
        </w:rPr>
      </w:pPr>
      <w:r w:rsidRPr="00A130EA">
        <w:rPr>
          <w:rFonts w:ascii="Times New Roman" w:hAnsi="Times New Roman"/>
          <w:sz w:val="22"/>
          <w:szCs w:val="24"/>
        </w:rPr>
        <w:t>«___» ___________ 202__ г.</w:t>
      </w:r>
    </w:p>
    <w:p w:rsidR="00424E3D" w:rsidRPr="00A130EA" w:rsidRDefault="00424E3D" w:rsidP="00424E3D">
      <w:pPr>
        <w:pStyle w:val="ConsPlusNonformat"/>
        <w:widowControl/>
        <w:jc w:val="both"/>
        <w:rPr>
          <w:rFonts w:ascii="Times New Roman" w:hAnsi="Times New Roman"/>
          <w:sz w:val="22"/>
          <w:szCs w:val="24"/>
        </w:rPr>
      </w:pPr>
      <w:r w:rsidRPr="00A130EA">
        <w:rPr>
          <w:rFonts w:ascii="Times New Roman" w:hAnsi="Times New Roman"/>
          <w:sz w:val="22"/>
          <w:szCs w:val="24"/>
        </w:rPr>
        <w:t xml:space="preserve"> </w:t>
      </w:r>
      <w:r w:rsidRPr="00A130EA">
        <w:rPr>
          <w:rFonts w:ascii="Times New Roman" w:hAnsi="Times New Roman"/>
          <w:sz w:val="22"/>
          <w:szCs w:val="24"/>
        </w:rPr>
        <w:tab/>
      </w:r>
      <w:r w:rsidRPr="00A130EA">
        <w:rPr>
          <w:rFonts w:ascii="Times New Roman" w:hAnsi="Times New Roman"/>
          <w:sz w:val="18"/>
          <w:szCs w:val="24"/>
        </w:rPr>
        <w:t>(дата)</w:t>
      </w:r>
    </w:p>
    <w:p w:rsidR="00A130EA" w:rsidRPr="00A130EA" w:rsidRDefault="00A130EA" w:rsidP="00237985">
      <w:pPr>
        <w:spacing w:after="0" w:line="276" w:lineRule="auto"/>
        <w:ind w:left="550" w:hanging="550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4"/>
        <w:tblW w:w="4685" w:type="pct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58"/>
        <w:gridCol w:w="8032"/>
      </w:tblGrid>
      <w:tr w:rsidR="008B6667" w:rsidTr="00A130EA">
        <w:trPr>
          <w:trHeight w:val="1848"/>
        </w:trPr>
        <w:tc>
          <w:tcPr>
            <w:tcW w:w="2170" w:type="pct"/>
          </w:tcPr>
          <w:p w:rsidR="008B6667" w:rsidRPr="00424E3D" w:rsidRDefault="00A130EA" w:rsidP="00A130EA">
            <w:pPr>
              <w:spacing w:line="200" w:lineRule="exact"/>
              <w:ind w:left="1432" w:hanging="143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A130EA">
              <w:rPr>
                <w:rFonts w:ascii="Times New Roman" w:hAnsi="Times New Roman" w:cs="Times New Roman"/>
                <w:b/>
                <w:sz w:val="20"/>
                <w:szCs w:val="28"/>
              </w:rPr>
              <w:t>Примечание</w:t>
            </w:r>
            <w:r w:rsidRPr="00A130EA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Cs w:val="28"/>
                <w:vertAlign w:val="superscript"/>
              </w:rPr>
              <w:t xml:space="preserve"> </w:t>
            </w:r>
            <w:r w:rsidR="008B6667" w:rsidRPr="00A130EA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="008B6667" w:rsidRPr="00A130EA">
              <w:rPr>
                <w:rFonts w:ascii="Times New Roman" w:hAnsi="Times New Roman" w:cs="Times New Roman"/>
                <w:b/>
                <w:sz w:val="18"/>
                <w:szCs w:val="28"/>
              </w:rPr>
              <w:t>При заполнении столбца 6 указываются: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  <w:p w:rsidR="0003514B" w:rsidRPr="0003514B" w:rsidRDefault="008B6667" w:rsidP="0003514B">
            <w:pPr>
              <w:pStyle w:val="a3"/>
              <w:numPr>
                <w:ilvl w:val="0"/>
                <w:numId w:val="11"/>
              </w:numPr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03514B">
              <w:rPr>
                <w:rFonts w:ascii="Times New Roman" w:hAnsi="Times New Roman" w:cs="Times New Roman"/>
                <w:sz w:val="18"/>
                <w:szCs w:val="28"/>
              </w:rPr>
              <w:t xml:space="preserve">Причина доработки: </w:t>
            </w:r>
          </w:p>
          <w:p w:rsidR="0003514B" w:rsidRDefault="0003514B" w:rsidP="0003514B">
            <w:pPr>
              <w:pStyle w:val="a3"/>
              <w:spacing w:line="200" w:lineRule="exact"/>
              <w:ind w:left="179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="008B6667" w:rsidRPr="0003514B">
              <w:rPr>
                <w:rFonts w:ascii="Times New Roman" w:hAnsi="Times New Roman" w:cs="Times New Roman"/>
                <w:sz w:val="18"/>
                <w:szCs w:val="28"/>
              </w:rPr>
              <w:t xml:space="preserve">Завышение </w:t>
            </w:r>
            <w:proofErr w:type="spellStart"/>
            <w:r w:rsidR="008B6667" w:rsidRPr="0003514B">
              <w:rPr>
                <w:rFonts w:ascii="Times New Roman" w:hAnsi="Times New Roman" w:cs="Times New Roman"/>
                <w:sz w:val="18"/>
                <w:szCs w:val="28"/>
              </w:rPr>
              <w:t>НМЦК</w:t>
            </w:r>
            <w:proofErr w:type="spellEnd"/>
            <w:r w:rsidR="009652FB" w:rsidRPr="0003514B">
              <w:rPr>
                <w:rFonts w:ascii="Times New Roman" w:hAnsi="Times New Roman" w:cs="Times New Roman"/>
                <w:sz w:val="18"/>
                <w:szCs w:val="28"/>
              </w:rPr>
              <w:t xml:space="preserve"> более 25%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;</w:t>
            </w:r>
          </w:p>
          <w:p w:rsidR="008B6667" w:rsidRPr="0003514B" w:rsidRDefault="0003514B" w:rsidP="0003514B">
            <w:pPr>
              <w:pStyle w:val="a3"/>
              <w:spacing w:line="200" w:lineRule="exact"/>
              <w:ind w:left="179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– Иные обстоятельства.</w:t>
            </w:r>
            <w:r w:rsidRPr="0003514B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  <w:p w:rsidR="008B6667" w:rsidRPr="00424E3D" w:rsidRDefault="008B6667" w:rsidP="00A130EA">
            <w:pPr>
              <w:spacing w:line="200" w:lineRule="exact"/>
              <w:ind w:left="1432" w:firstLine="2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>2)  Информация о цене: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___________</w:t>
            </w:r>
          </w:p>
          <w:p w:rsidR="008B6667" w:rsidRPr="00424E3D" w:rsidRDefault="008B6667" w:rsidP="00A130EA">
            <w:pPr>
              <w:spacing w:line="200" w:lineRule="exact"/>
              <w:ind w:left="1432" w:firstLine="2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 </w:t>
            </w:r>
            <w:r w:rsidR="00A130EA"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Товар (если применимо):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_________</w:t>
            </w:r>
          </w:p>
          <w:p w:rsidR="008B6667" w:rsidRPr="00424E3D" w:rsidRDefault="008B6667" w:rsidP="00A130EA">
            <w:pPr>
              <w:spacing w:line="200" w:lineRule="exact"/>
              <w:ind w:left="1432" w:firstLine="2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 </w:t>
            </w:r>
            <w:r w:rsidR="00A130EA"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Предложенная цена за единицу: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________</w:t>
            </w:r>
          </w:p>
          <w:p w:rsidR="008B6667" w:rsidRPr="00424E3D" w:rsidRDefault="008B6667" w:rsidP="00A130EA">
            <w:pPr>
              <w:spacing w:line="200" w:lineRule="exact"/>
              <w:ind w:left="1432" w:firstLine="2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 </w:t>
            </w:r>
            <w:r w:rsidR="00A130EA"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Цена за единицу по данным </w:t>
            </w:r>
            <w:proofErr w:type="spellStart"/>
            <w:r w:rsidRPr="00424E3D">
              <w:rPr>
                <w:rFonts w:ascii="Times New Roman" w:hAnsi="Times New Roman" w:cs="Times New Roman"/>
                <w:sz w:val="18"/>
                <w:szCs w:val="28"/>
              </w:rPr>
              <w:t>ЕИС</w:t>
            </w:r>
            <w:proofErr w:type="spellEnd"/>
            <w:r w:rsidRPr="00424E3D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_______</w:t>
            </w:r>
          </w:p>
          <w:p w:rsidR="008B6667" w:rsidRPr="00424E3D" w:rsidRDefault="008B6667" w:rsidP="00A130EA">
            <w:pPr>
              <w:spacing w:line="200" w:lineRule="exact"/>
              <w:ind w:left="1432" w:firstLine="2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 </w:t>
            </w:r>
            <w:r w:rsidR="00A130EA"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Процент завышения: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__________ %</w:t>
            </w:r>
          </w:p>
          <w:p w:rsidR="008B6667" w:rsidRPr="00424E3D" w:rsidRDefault="008B6667" w:rsidP="00424E3D">
            <w:pPr>
              <w:spacing w:line="200" w:lineRule="exact"/>
              <w:ind w:firstLine="709"/>
              <w:jc w:val="both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</w:rPr>
            </w:pPr>
          </w:p>
        </w:tc>
        <w:tc>
          <w:tcPr>
            <w:tcW w:w="2830" w:type="pct"/>
          </w:tcPr>
          <w:p w:rsidR="008B6667" w:rsidRPr="00A130EA" w:rsidRDefault="008B6667" w:rsidP="00A130EA">
            <w:pPr>
              <w:spacing w:line="200" w:lineRule="exact"/>
              <w:ind w:left="223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A130EA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</w:rPr>
              <w:t>2</w:t>
            </w:r>
            <w:r w:rsidRPr="00A130EA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При заполнении столбца 7 указываются:</w:t>
            </w:r>
          </w:p>
          <w:p w:rsidR="008B6667" w:rsidRPr="00424E3D" w:rsidRDefault="008B6667" w:rsidP="00A130EA">
            <w:pPr>
              <w:spacing w:line="200" w:lineRule="exact"/>
              <w:ind w:left="22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>1)   Корректирующие действия:</w:t>
            </w:r>
          </w:p>
          <w:p w:rsidR="008B6667" w:rsidRPr="00424E3D" w:rsidRDefault="00A130EA" w:rsidP="0003514B">
            <w:pPr>
              <w:tabs>
                <w:tab w:val="left" w:pos="1008"/>
              </w:tabs>
              <w:spacing w:line="200" w:lineRule="exact"/>
              <w:ind w:left="554" w:hanging="11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Цена 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за ед. 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>снижена до: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_______</w:t>
            </w:r>
          </w:p>
          <w:p w:rsidR="009652FB" w:rsidRPr="00424E3D" w:rsidRDefault="00A130EA" w:rsidP="0003514B">
            <w:pPr>
              <w:tabs>
                <w:tab w:val="left" w:pos="1008"/>
              </w:tabs>
              <w:spacing w:line="200" w:lineRule="exact"/>
              <w:ind w:left="554" w:hanging="11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</w:t>
            </w:r>
            <w:proofErr w:type="spellStart"/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>НМЦК</w:t>
            </w:r>
            <w:proofErr w:type="spellEnd"/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снижена до: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</w:t>
            </w:r>
          </w:p>
          <w:p w:rsidR="009652FB" w:rsidRPr="00424E3D" w:rsidRDefault="00A130EA" w:rsidP="0003514B">
            <w:pPr>
              <w:tabs>
                <w:tab w:val="left" w:pos="1008"/>
              </w:tabs>
              <w:spacing w:line="200" w:lineRule="exact"/>
              <w:ind w:left="554" w:hanging="11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  Процент снижения: ______ %</w:t>
            </w:r>
          </w:p>
          <w:p w:rsidR="008B6667" w:rsidRPr="00424E3D" w:rsidRDefault="008B6667" w:rsidP="00A130EA">
            <w:pPr>
              <w:tabs>
                <w:tab w:val="left" w:pos="1008"/>
              </w:tabs>
              <w:spacing w:line="200" w:lineRule="exact"/>
              <w:ind w:left="22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>2)  Статус:</w:t>
            </w:r>
          </w:p>
          <w:p w:rsidR="00A130EA" w:rsidRDefault="00A130EA" w:rsidP="0003514B">
            <w:pPr>
              <w:spacing w:line="200" w:lineRule="exact"/>
              <w:ind w:left="44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– 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дорабортке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с ___________</w:t>
            </w:r>
          </w:p>
          <w:p w:rsidR="008B6667" w:rsidRPr="00424E3D" w:rsidRDefault="008B6667" w:rsidP="0003514B">
            <w:pPr>
              <w:spacing w:line="200" w:lineRule="exact"/>
              <w:ind w:left="44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="00A130EA">
              <w:rPr>
                <w:rFonts w:ascii="Times New Roman" w:hAnsi="Times New Roman" w:cs="Times New Roman"/>
                <w:sz w:val="18"/>
                <w:szCs w:val="28"/>
              </w:rPr>
              <w:t xml:space="preserve">–  </w:t>
            </w:r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Опубликовано в </w:t>
            </w:r>
            <w:proofErr w:type="spellStart"/>
            <w:r w:rsidRPr="00424E3D">
              <w:rPr>
                <w:rFonts w:ascii="Times New Roman" w:hAnsi="Times New Roman" w:cs="Times New Roman"/>
                <w:sz w:val="18"/>
                <w:szCs w:val="28"/>
              </w:rPr>
              <w:t>ЕИС</w:t>
            </w:r>
            <w:proofErr w:type="spellEnd"/>
            <w:r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(дата):</w:t>
            </w:r>
            <w:r w:rsidR="009652FB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 _________</w:t>
            </w:r>
          </w:p>
          <w:p w:rsidR="008B6667" w:rsidRPr="00424E3D" w:rsidRDefault="00A130EA" w:rsidP="0003514B">
            <w:pPr>
              <w:spacing w:line="200" w:lineRule="exact"/>
              <w:ind w:left="44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– 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 xml:space="preserve">Дополнительная информация: (Обоснование по реестру контрактов, количество </w:t>
            </w:r>
            <w:r w:rsidR="0003514B">
              <w:rPr>
                <w:rFonts w:ascii="Times New Roman" w:hAnsi="Times New Roman" w:cs="Times New Roman"/>
                <w:sz w:val="18"/>
                <w:szCs w:val="28"/>
              </w:rPr>
              <w:t xml:space="preserve">возвратов на 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>дораб</w:t>
            </w:r>
            <w:r w:rsidR="0003514B">
              <w:rPr>
                <w:rFonts w:ascii="Times New Roman" w:hAnsi="Times New Roman" w:cs="Times New Roman"/>
                <w:sz w:val="18"/>
                <w:szCs w:val="28"/>
              </w:rPr>
              <w:t>отку</w:t>
            </w:r>
            <w:r w:rsidR="008B6667" w:rsidRPr="00424E3D">
              <w:rPr>
                <w:rFonts w:ascii="Times New Roman" w:hAnsi="Times New Roman" w:cs="Times New Roman"/>
                <w:sz w:val="18"/>
                <w:szCs w:val="28"/>
              </w:rPr>
              <w:t>, причина отказа от снижения цены, отмена закупки и т. д.)</w:t>
            </w:r>
          </w:p>
        </w:tc>
      </w:tr>
    </w:tbl>
    <w:p w:rsidR="008B6667" w:rsidRPr="00A130EA" w:rsidRDefault="008B6667" w:rsidP="00A130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  <w:vertAlign w:val="superscript"/>
        </w:rPr>
      </w:pPr>
    </w:p>
    <w:sectPr w:rsidR="008B6667" w:rsidRPr="00A130EA" w:rsidSect="0003514B">
      <w:pgSz w:w="16838" w:h="11906" w:orient="landscape"/>
      <w:pgMar w:top="1191" w:right="1191" w:bottom="719" w:left="71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EA" w:rsidRDefault="00A130EA" w:rsidP="00E20B6E">
      <w:pPr>
        <w:spacing w:after="0" w:line="240" w:lineRule="auto"/>
      </w:pPr>
      <w:r>
        <w:separator/>
      </w:r>
    </w:p>
  </w:endnote>
  <w:endnote w:type="continuationSeparator" w:id="0">
    <w:p w:rsidR="00A130EA" w:rsidRDefault="00A130EA" w:rsidP="00E2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7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30EA" w:rsidRDefault="00A130EA">
        <w:pPr>
          <w:pStyle w:val="a7"/>
          <w:jc w:val="right"/>
        </w:pPr>
        <w:r w:rsidRPr="00FF7B79">
          <w:rPr>
            <w:rFonts w:ascii="Times New Roman" w:hAnsi="Times New Roman" w:cs="Times New Roman"/>
          </w:rPr>
          <w:fldChar w:fldCharType="begin"/>
        </w:r>
        <w:r w:rsidRPr="00FF7B79">
          <w:rPr>
            <w:rFonts w:ascii="Times New Roman" w:hAnsi="Times New Roman" w:cs="Times New Roman"/>
          </w:rPr>
          <w:instrText xml:space="preserve"> PAGE   \* MERGEFORMAT </w:instrText>
        </w:r>
        <w:r w:rsidRPr="00FF7B79">
          <w:rPr>
            <w:rFonts w:ascii="Times New Roman" w:hAnsi="Times New Roman" w:cs="Times New Roman"/>
          </w:rPr>
          <w:fldChar w:fldCharType="separate"/>
        </w:r>
        <w:r w:rsidR="00DD7AD6">
          <w:rPr>
            <w:rFonts w:ascii="Times New Roman" w:hAnsi="Times New Roman" w:cs="Times New Roman"/>
            <w:noProof/>
          </w:rPr>
          <w:t>9</w:t>
        </w:r>
        <w:r w:rsidRPr="00FF7B79">
          <w:rPr>
            <w:rFonts w:ascii="Times New Roman" w:hAnsi="Times New Roman" w:cs="Times New Roman"/>
          </w:rPr>
          <w:fldChar w:fldCharType="end"/>
        </w:r>
      </w:p>
    </w:sdtContent>
  </w:sdt>
  <w:p w:rsidR="00A130EA" w:rsidRDefault="00A130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EA" w:rsidRDefault="00A130EA" w:rsidP="00E20B6E">
      <w:pPr>
        <w:spacing w:after="0" w:line="240" w:lineRule="auto"/>
      </w:pPr>
      <w:r>
        <w:separator/>
      </w:r>
    </w:p>
  </w:footnote>
  <w:footnote w:type="continuationSeparator" w:id="0">
    <w:p w:rsidR="00A130EA" w:rsidRDefault="00A130EA" w:rsidP="00E2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016"/>
    <w:multiLevelType w:val="hybridMultilevel"/>
    <w:tmpl w:val="17D0DFAA"/>
    <w:lvl w:ilvl="0" w:tplc="806C4E0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B07EB9"/>
    <w:multiLevelType w:val="hybridMultilevel"/>
    <w:tmpl w:val="C9706BF0"/>
    <w:lvl w:ilvl="0" w:tplc="9522E1F4">
      <w:start w:val="1"/>
      <w:numFmt w:val="decimal"/>
      <w:lvlText w:val="%1."/>
      <w:lvlJc w:val="left"/>
      <w:pPr>
        <w:ind w:left="763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346072"/>
    <w:multiLevelType w:val="hybridMultilevel"/>
    <w:tmpl w:val="7B527730"/>
    <w:lvl w:ilvl="0" w:tplc="ACE07880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9B901A9"/>
    <w:multiLevelType w:val="hybridMultilevel"/>
    <w:tmpl w:val="C17061F0"/>
    <w:lvl w:ilvl="0" w:tplc="C25C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5050F0"/>
    <w:multiLevelType w:val="hybridMultilevel"/>
    <w:tmpl w:val="BB924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F84AC4"/>
    <w:multiLevelType w:val="hybridMultilevel"/>
    <w:tmpl w:val="089241C0"/>
    <w:lvl w:ilvl="0" w:tplc="ACE078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4B0175"/>
    <w:multiLevelType w:val="hybridMultilevel"/>
    <w:tmpl w:val="E1AE77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6C78D5"/>
    <w:multiLevelType w:val="hybridMultilevel"/>
    <w:tmpl w:val="A7B09764"/>
    <w:lvl w:ilvl="0" w:tplc="75547F9A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>
    <w:nsid w:val="785951CE"/>
    <w:multiLevelType w:val="hybridMultilevel"/>
    <w:tmpl w:val="26D65B62"/>
    <w:lvl w:ilvl="0" w:tplc="ACE078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106E41"/>
    <w:multiLevelType w:val="multilevel"/>
    <w:tmpl w:val="F95249CE"/>
    <w:lvl w:ilvl="0">
      <w:start w:val="24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01" w:hanging="2160"/>
      </w:pPr>
      <w:rPr>
        <w:rFonts w:hint="default"/>
      </w:rPr>
    </w:lvl>
  </w:abstractNum>
  <w:abstractNum w:abstractNumId="10">
    <w:nsid w:val="7F287E15"/>
    <w:multiLevelType w:val="hybridMultilevel"/>
    <w:tmpl w:val="7BC6DEDA"/>
    <w:lvl w:ilvl="0" w:tplc="C25CEB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528"/>
    <w:rsid w:val="00002273"/>
    <w:rsid w:val="00017959"/>
    <w:rsid w:val="0003514B"/>
    <w:rsid w:val="000B2AA9"/>
    <w:rsid w:val="00107697"/>
    <w:rsid w:val="001547E9"/>
    <w:rsid w:val="00157311"/>
    <w:rsid w:val="00195C88"/>
    <w:rsid w:val="002205DF"/>
    <w:rsid w:val="00226A34"/>
    <w:rsid w:val="00237985"/>
    <w:rsid w:val="002A07E9"/>
    <w:rsid w:val="00343043"/>
    <w:rsid w:val="0036642D"/>
    <w:rsid w:val="00404EA3"/>
    <w:rsid w:val="00421787"/>
    <w:rsid w:val="00424E3D"/>
    <w:rsid w:val="00453477"/>
    <w:rsid w:val="00464FCD"/>
    <w:rsid w:val="004F2359"/>
    <w:rsid w:val="0050428E"/>
    <w:rsid w:val="00524990"/>
    <w:rsid w:val="005B24E9"/>
    <w:rsid w:val="006849F0"/>
    <w:rsid w:val="00694F5E"/>
    <w:rsid w:val="00695036"/>
    <w:rsid w:val="0069675F"/>
    <w:rsid w:val="006C2C8A"/>
    <w:rsid w:val="007E2E58"/>
    <w:rsid w:val="008B6667"/>
    <w:rsid w:val="008C37BC"/>
    <w:rsid w:val="00944682"/>
    <w:rsid w:val="009652FB"/>
    <w:rsid w:val="00993207"/>
    <w:rsid w:val="009C538F"/>
    <w:rsid w:val="009C705E"/>
    <w:rsid w:val="00A02F9B"/>
    <w:rsid w:val="00A130EA"/>
    <w:rsid w:val="00A6592E"/>
    <w:rsid w:val="00A67904"/>
    <w:rsid w:val="00A814F9"/>
    <w:rsid w:val="00AE630A"/>
    <w:rsid w:val="00B14342"/>
    <w:rsid w:val="00B17C70"/>
    <w:rsid w:val="00B43647"/>
    <w:rsid w:val="00B65CC1"/>
    <w:rsid w:val="00C055F3"/>
    <w:rsid w:val="00C13D7E"/>
    <w:rsid w:val="00C31528"/>
    <w:rsid w:val="00C4007A"/>
    <w:rsid w:val="00C6430E"/>
    <w:rsid w:val="00C72A15"/>
    <w:rsid w:val="00CD6FEA"/>
    <w:rsid w:val="00D35011"/>
    <w:rsid w:val="00D830AA"/>
    <w:rsid w:val="00DB4B45"/>
    <w:rsid w:val="00DB62C6"/>
    <w:rsid w:val="00DC3776"/>
    <w:rsid w:val="00DD7AD6"/>
    <w:rsid w:val="00DF6D19"/>
    <w:rsid w:val="00E17B37"/>
    <w:rsid w:val="00E20B6E"/>
    <w:rsid w:val="00E36F7B"/>
    <w:rsid w:val="00E70C81"/>
    <w:rsid w:val="00E85D23"/>
    <w:rsid w:val="00E979DC"/>
    <w:rsid w:val="00F17890"/>
    <w:rsid w:val="00F274FF"/>
    <w:rsid w:val="00F872F4"/>
    <w:rsid w:val="00FF3B2B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autoRedefine/>
    <w:qFormat/>
    <w:rsid w:val="00DB4B45"/>
    <w:pPr>
      <w:spacing w:before="120" w:after="120" w:line="240" w:lineRule="auto"/>
      <w:ind w:firstLine="709"/>
    </w:pPr>
    <w:rPr>
      <w:rFonts w:ascii="Times New Roman" w:hAnsi="Times New Roman"/>
      <w:sz w:val="28"/>
    </w:rPr>
  </w:style>
  <w:style w:type="character" w:customStyle="1" w:styleId="10">
    <w:name w:val="1 Знак"/>
    <w:basedOn w:val="a0"/>
    <w:link w:val="1"/>
    <w:rsid w:val="00DB4B45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017959"/>
    <w:pPr>
      <w:ind w:left="720"/>
      <w:contextualSpacing/>
    </w:pPr>
  </w:style>
  <w:style w:type="table" w:styleId="a4">
    <w:name w:val="Table Grid"/>
    <w:basedOn w:val="a1"/>
    <w:uiPriority w:val="39"/>
    <w:rsid w:val="00B1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2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0B6E"/>
  </w:style>
  <w:style w:type="paragraph" w:styleId="a7">
    <w:name w:val="footer"/>
    <w:basedOn w:val="a"/>
    <w:link w:val="a8"/>
    <w:uiPriority w:val="99"/>
    <w:unhideWhenUsed/>
    <w:rsid w:val="00E2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B6E"/>
  </w:style>
  <w:style w:type="paragraph" w:styleId="a9">
    <w:name w:val="Normal (Web)"/>
    <w:basedOn w:val="a"/>
    <w:uiPriority w:val="99"/>
    <w:semiHidden/>
    <w:unhideWhenUsed/>
    <w:rsid w:val="007E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E2E58"/>
    <w:rPr>
      <w:color w:val="0000FF"/>
      <w:u w:val="single"/>
    </w:rPr>
  </w:style>
  <w:style w:type="paragraph" w:customStyle="1" w:styleId="ConsPlusNonformat">
    <w:name w:val="ConsPlusNonformat"/>
    <w:rsid w:val="00424E3D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ate=22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2242F-02DE-4070-AC62-913DA322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Муравьев</dc:creator>
  <cp:lastModifiedBy>mzak1</cp:lastModifiedBy>
  <cp:revision>2</cp:revision>
  <cp:lastPrinted>2025-08-25T10:02:00Z</cp:lastPrinted>
  <dcterms:created xsi:type="dcterms:W3CDTF">2025-08-25T11:30:00Z</dcterms:created>
  <dcterms:modified xsi:type="dcterms:W3CDTF">2025-08-25T11:30:00Z</dcterms:modified>
</cp:coreProperties>
</file>