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both"/>
      </w:pPr>
    </w:p>
    <w:p w14:paraId="02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 xml:space="preserve">УВЕДОМЛЕНИЕ </w:t>
      </w:r>
    </w:p>
    <w:p w14:paraId="03000000">
      <w:pPr>
        <w:pStyle w:val="Style_1"/>
        <w:widowControl w:val="1"/>
        <w:ind/>
        <w:jc w:val="center"/>
        <w:rPr>
          <w:b w:val="1"/>
        </w:rPr>
      </w:pPr>
      <w:r>
        <w:rPr>
          <w:b w:val="1"/>
        </w:rPr>
        <w:t>о разработке предлагаемого правового регулирования</w:t>
      </w:r>
    </w:p>
    <w:p w14:paraId="04000000">
      <w:pPr>
        <w:pStyle w:val="Style_1"/>
        <w:widowControl w:val="1"/>
        <w:ind/>
        <w:jc w:val="center"/>
      </w:pPr>
    </w:p>
    <w:p w14:paraId="05000000">
      <w:pPr>
        <w:pStyle w:val="Style_1"/>
        <w:widowControl w:val="1"/>
        <w:ind w:firstLine="720"/>
        <w:jc w:val="both"/>
      </w:pPr>
      <w:r>
        <w:t xml:space="preserve">Настоящим Министерство имущества Курской области  извещает о начале обсуждения идеи (концепции)  предлагаемого  правового  регулирования  и  сборе  предложений заинтересованных лиц. </w:t>
      </w:r>
    </w:p>
    <w:p w14:paraId="06000000">
      <w:pPr>
        <w:pStyle w:val="Style_1"/>
        <w:widowControl w:val="1"/>
        <w:ind w:firstLine="720"/>
        <w:jc w:val="both"/>
      </w:pPr>
      <w:r>
        <w:t xml:space="preserve">Предложения принимаются по адресу: 305000, г. Курск, ул. Марата, д. 9, Министерство имущества Курской области, а также по адресу электронной почты: </w:t>
      </w:r>
      <w:r>
        <w:rPr>
          <w:rStyle w:val="Style_2_ch"/>
          <w:color w:val="000000"/>
        </w:rPr>
        <w:fldChar w:fldCharType="begin"/>
      </w:r>
      <w:r>
        <w:rPr>
          <w:rStyle w:val="Style_2_ch"/>
          <w:color w:val="000000"/>
        </w:rPr>
        <w:instrText>HYPERLINK "mailto:obl_im@imkursk.ru"</w:instrText>
      </w:r>
      <w:r>
        <w:rPr>
          <w:rStyle w:val="Style_2_ch"/>
          <w:color w:val="000000"/>
        </w:rPr>
        <w:fldChar w:fldCharType="separate"/>
      </w:r>
      <w:r>
        <w:rPr>
          <w:rStyle w:val="Style_2_ch"/>
          <w:color w:val="000000"/>
        </w:rPr>
        <w:t>obl_im@imkursk.ru</w:t>
      </w:r>
      <w:r>
        <w:rPr>
          <w:rStyle w:val="Style_2_ch"/>
          <w:color w:val="000000"/>
        </w:rPr>
        <w:fldChar w:fldCharType="end"/>
      </w:r>
      <w:r>
        <w:t>..</w:t>
      </w:r>
    </w:p>
    <w:p w14:paraId="07000000">
      <w:pPr>
        <w:pStyle w:val="Style_1"/>
        <w:widowControl w:val="1"/>
        <w:ind w:firstLine="720"/>
        <w:jc w:val="both"/>
      </w:pPr>
      <w:r>
        <w:t xml:space="preserve">Сроки приема предложений: </w:t>
      </w:r>
      <w:r>
        <w:t xml:space="preserve">10 </w:t>
      </w:r>
      <w:r>
        <w:t>рабочих  дней  со  дня  ра</w:t>
      </w:r>
      <w:r>
        <w:t>змещения уведомления</w:t>
      </w:r>
      <w:r>
        <w:t>.</w:t>
      </w:r>
    </w:p>
    <w:p w14:paraId="08000000">
      <w:pPr>
        <w:pStyle w:val="Style_1"/>
        <w:widowControl w:val="1"/>
        <w:ind w:firstLine="720"/>
        <w:jc w:val="both"/>
      </w:pPr>
      <w:r>
        <w:t>Место  размещения  уведомления:  государственная информационная система "Интернет-портал правовой информации Курской области" (</w:t>
      </w:r>
      <w:r>
        <w:t>https</w:t>
      </w:r>
      <w:r>
        <w:t>://</w:t>
      </w:r>
      <w:r>
        <w:t>kurskpravo.ru</w:t>
      </w:r>
      <w:r>
        <w:t>/)  (далее  -  официальный  сайт),  идентификационный номер  проекта  нормативного  правового  акта  _427__,  ссылка на размещение  ___________.</w:t>
      </w:r>
    </w:p>
    <w:p w14:paraId="09000000">
      <w:pPr>
        <w:pStyle w:val="Style_1"/>
        <w:widowControl w:val="1"/>
        <w:ind w:firstLine="720"/>
        <w:jc w:val="both"/>
      </w:pPr>
      <w:r>
        <w:t xml:space="preserve">Все  поступившие  предложения будут рассмотрены. </w:t>
      </w:r>
    </w:p>
    <w:p w14:paraId="0A000000">
      <w:pPr>
        <w:pStyle w:val="Style_1"/>
        <w:widowControl w:val="1"/>
        <w:ind w:firstLine="720"/>
        <w:jc w:val="both"/>
      </w:pPr>
      <w:r>
        <w:t>Свод предложений будет</w:t>
      </w:r>
      <w:r>
        <w:t xml:space="preserve"> </w:t>
      </w:r>
      <w:r>
        <w:t>размещен на официальном сайте.</w:t>
      </w:r>
    </w:p>
    <w:p w14:paraId="0B000000">
      <w:pPr>
        <w:pStyle w:val="Style_1"/>
        <w:widowControl w:val="1"/>
        <w:ind w:firstLine="720"/>
        <w:jc w:val="both"/>
      </w:pPr>
    </w:p>
    <w:p w14:paraId="0C000000">
      <w:pPr>
        <w:pStyle w:val="Style_1"/>
        <w:widowControl w:val="1"/>
        <w:ind w:firstLine="720"/>
        <w:jc w:val="both"/>
        <w:rPr>
          <w:b w:val="1"/>
        </w:rPr>
      </w:pPr>
      <w:r>
        <w:rPr>
          <w:b w:val="1"/>
        </w:rPr>
        <w:t xml:space="preserve">1.  Описание  проблемы,  на  решение  которой  направлено  предлагаемое правовое регулирование: </w:t>
      </w:r>
    </w:p>
    <w:p w14:paraId="0D000000">
      <w:pPr>
        <w:pStyle w:val="Style_3"/>
        <w:widowControl w:val="1"/>
        <w:spacing w:after="0" w:before="0" w:line="262" w:lineRule="atLeast"/>
        <w:ind w:firstLine="720"/>
        <w:jc w:val="both"/>
      </w:pPr>
      <w:r>
        <w:t xml:space="preserve">Отсутствие единого подхода к оценке квалификации участников закупок, в частности, в части деловой репутации, препятствует повышению эффективности закупочной деятельности государственных и муниципальных заказчиков Курской области. Внедрение Методических рекомендаций по применению </w:t>
      </w:r>
      <w:r>
        <w:t>ЭКГ-рейтинга</w:t>
      </w:r>
      <w:r>
        <w:t xml:space="preserve"> направлено на стандартизацию оценки деловой репутации участников электронных конкурсов. Данная проблема препятствует выбору наиболее надежных и социально ответственных поставщиков (подрядчиков, исполнителей), что </w:t>
      </w:r>
      <w:r>
        <w:t>оказывает влияние</w:t>
      </w:r>
      <w:r>
        <w:t xml:space="preserve"> на качеств</w:t>
      </w:r>
      <w:r>
        <w:t>о</w:t>
      </w:r>
      <w:r>
        <w:t xml:space="preserve"> предоставляемых товаров, работ и услуг для государственных и муниципальных нужд</w:t>
      </w:r>
      <w:r>
        <w:t xml:space="preserve"> Курской области</w:t>
      </w:r>
      <w:r>
        <w:t>.</w:t>
      </w:r>
    </w:p>
    <w:p w14:paraId="0E000000">
      <w:pPr>
        <w:pStyle w:val="Style_3"/>
        <w:widowControl w:val="1"/>
        <w:spacing w:after="0" w:before="0" w:line="262" w:lineRule="atLeast"/>
        <w:ind w:firstLine="720"/>
        <w:jc w:val="both"/>
      </w:pPr>
    </w:p>
    <w:p w14:paraId="0F000000">
      <w:pPr>
        <w:widowControl w:val="1"/>
        <w:ind w:firstLine="720"/>
        <w:jc w:val="both"/>
        <w:rPr>
          <w:b w:val="1"/>
          <w:sz w:val="24"/>
        </w:rPr>
      </w:pPr>
      <w:r>
        <w:rPr>
          <w:b w:val="1"/>
          <w:sz w:val="24"/>
        </w:rPr>
        <w:t xml:space="preserve">2. Цели предлагаемого правового регулирования: </w:t>
      </w:r>
    </w:p>
    <w:p w14:paraId="10000000">
      <w:pPr>
        <w:widowControl w:val="1"/>
        <w:ind w:firstLine="720"/>
        <w:jc w:val="both"/>
        <w:rPr>
          <w:sz w:val="24"/>
        </w:rPr>
      </w:pPr>
    </w:p>
    <w:p w14:paraId="11000000">
      <w:pPr>
        <w:widowControl w:val="1"/>
        <w:ind w:firstLine="720"/>
        <w:jc w:val="both"/>
        <w:rPr>
          <w:sz w:val="24"/>
        </w:rPr>
      </w:pPr>
      <w:r>
        <w:rPr>
          <w:sz w:val="24"/>
        </w:rPr>
        <w:t xml:space="preserve">Содействие государственным и муниципальным заказчикам Курской области в применении </w:t>
      </w:r>
      <w:r>
        <w:rPr>
          <w:sz w:val="24"/>
        </w:rPr>
        <w:t>ЭКГ-рейтинга</w:t>
      </w:r>
      <w:r>
        <w:rPr>
          <w:sz w:val="24"/>
        </w:rPr>
        <w:t xml:space="preserve"> по показателю "наличие у участников закупки деловой репутации" при проведении электронных конкурсов в соответствии с положениями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постановления Правительства Российской Федерации от 31 декабря 2021 г. № 2604 "Об оценке заявок на участие в закупке товаров, работ, услуг для обеспечения государственных и муниципальных нужд...". Обеспечение прозрачности и объективности при оценке заявок, повышение конкуренции и стимулирование социально ответственного поведения участников закупок.</w:t>
      </w:r>
    </w:p>
    <w:p w14:paraId="12000000">
      <w:pPr>
        <w:pStyle w:val="Style_1"/>
        <w:widowControl w:val="1"/>
        <w:ind w:firstLine="720"/>
      </w:pPr>
    </w:p>
    <w:p w14:paraId="13000000">
      <w:pPr>
        <w:pStyle w:val="Style_1"/>
        <w:widowControl w:val="1"/>
        <w:ind w:firstLine="720"/>
        <w:jc w:val="both"/>
        <w:rPr>
          <w:b w:val="1"/>
        </w:rPr>
      </w:pPr>
      <w:r>
        <w:rPr>
          <w:b w:val="1"/>
        </w:rPr>
        <w:t>3. Ожидаемый результат (выраженный  установленными  разработчиком</w:t>
      </w:r>
    </w:p>
    <w:p w14:paraId="14000000">
      <w:pPr>
        <w:pStyle w:val="Style_1"/>
        <w:widowControl w:val="1"/>
        <w:ind w:firstLine="720"/>
        <w:jc w:val="both"/>
      </w:pPr>
      <w:r>
        <w:rPr>
          <w:b w:val="1"/>
        </w:rPr>
        <w:t>показателями) предлагаемого правового регулирования</w:t>
      </w:r>
      <w:r>
        <w:t xml:space="preserve">: </w:t>
      </w:r>
    </w:p>
    <w:p w14:paraId="15000000">
      <w:pPr>
        <w:pStyle w:val="Style_1"/>
        <w:widowControl w:val="1"/>
        <w:ind w:firstLine="720"/>
        <w:jc w:val="both"/>
      </w:pPr>
    </w:p>
    <w:p w14:paraId="16000000">
      <w:pPr>
        <w:pStyle w:val="Style_1"/>
        <w:widowControl w:val="1"/>
        <w:ind w:firstLine="720"/>
        <w:jc w:val="both"/>
      </w:pPr>
      <w:r>
        <w:t xml:space="preserve">Повышение эффективности закупочной деятельности, выбор наиболее ответственных поставщиков (подрядчиков, исполнителей) и стимулирование развития конкуренции, подтверждаемое применением </w:t>
      </w:r>
      <w:r>
        <w:t>ЭКГ-рейтинга</w:t>
      </w:r>
      <w:r>
        <w:t xml:space="preserve"> в электронных конкурсах, проводимых государственными и муниципальными заказчиками Курской области. Увеличение доли закупок, при проведении которых применяется </w:t>
      </w:r>
      <w:r>
        <w:t>ЭКГ-рейтинг</w:t>
      </w:r>
      <w:r>
        <w:t xml:space="preserve">, а также рост среднего значения </w:t>
      </w:r>
      <w:r>
        <w:t>ЭКГ-рейтинга</w:t>
      </w:r>
      <w:r>
        <w:t xml:space="preserve"> у победителей закупок.</w:t>
      </w:r>
    </w:p>
    <w:p w14:paraId="17000000">
      <w:pPr>
        <w:pStyle w:val="Style_1"/>
        <w:widowControl w:val="1"/>
        <w:ind w:firstLine="720"/>
        <w:jc w:val="both"/>
      </w:pPr>
    </w:p>
    <w:p w14:paraId="18000000">
      <w:pPr>
        <w:pStyle w:val="Style_1"/>
        <w:widowControl w:val="1"/>
        <w:ind w:firstLine="720"/>
        <w:jc w:val="both"/>
        <w:rPr>
          <w:b w:val="1"/>
        </w:rPr>
      </w:pPr>
      <w:r>
        <w:rPr>
          <w:b w:val="1"/>
        </w:rPr>
        <w:t>4. Действующие нормативные правовые акты, поручения, другие решения, из</w:t>
      </w:r>
    </w:p>
    <w:p w14:paraId="19000000">
      <w:pPr>
        <w:pStyle w:val="Style_1"/>
        <w:widowControl w:val="1"/>
        <w:ind w:firstLine="720"/>
        <w:jc w:val="both"/>
        <w:rPr>
          <w:b w:val="1"/>
        </w:rPr>
      </w:pPr>
      <w:r>
        <w:rPr>
          <w:b w:val="1"/>
        </w:rPr>
        <w:t>которых вытекает необходимость разработки предлагаемого правового</w:t>
      </w:r>
    </w:p>
    <w:p w14:paraId="1A000000">
      <w:pPr>
        <w:pStyle w:val="Style_1"/>
        <w:widowControl w:val="1"/>
        <w:ind w:firstLine="720"/>
        <w:jc w:val="both"/>
      </w:pPr>
      <w:r>
        <w:rPr>
          <w:b w:val="1"/>
        </w:rPr>
        <w:t>регулирования в данной области</w:t>
      </w:r>
    </w:p>
    <w:p w14:paraId="1B000000">
      <w:pPr>
        <w:pStyle w:val="Style_1"/>
        <w:widowControl w:val="1"/>
        <w:ind w:firstLine="720"/>
        <w:jc w:val="both"/>
        <w:rPr>
          <w:b w:val="1"/>
        </w:rPr>
      </w:pPr>
      <w:r>
        <w:t xml:space="preserve">Положение о Министерстве имущества Курской области, утвержденное постановлением Губернатора Курской области от 25.06.2007 № 286; Федеральный закон от 5 апреля 2013 г. № 44-ФЗ "О контрактной системе в сфере закупок товаров, работ, услуг для обеспечения государственных и муниципальных нужд"; постановление Правительства Российской Федерации от 31 декабря 2021 г. № 2604 "Об оценке заявок на участие в закупке товаров, работ, услуг для обеспечения государственных и муниципальных нужд..."; ГОСТ </w:t>
      </w:r>
      <w:r>
        <w:t>Р</w:t>
      </w:r>
      <w:r>
        <w:t xml:space="preserve"> 71198-2023 "Индекс деловой репутации субъектов предпринимательской деятельности (</w:t>
      </w:r>
      <w:r>
        <w:t>ЭКГ-рейтинг</w:t>
      </w:r>
      <w:r>
        <w:t>)".</w:t>
      </w:r>
    </w:p>
    <w:p w14:paraId="1C000000">
      <w:pPr>
        <w:pStyle w:val="Style_1"/>
        <w:widowControl w:val="1"/>
        <w:ind w:firstLine="720"/>
        <w:jc w:val="both"/>
        <w:rPr>
          <w:b w:val="1"/>
        </w:rPr>
      </w:pPr>
    </w:p>
    <w:p w14:paraId="1D000000">
      <w:pPr>
        <w:pStyle w:val="Style_1"/>
        <w:widowControl w:val="1"/>
        <w:ind w:firstLine="720"/>
        <w:jc w:val="both"/>
      </w:pPr>
      <w:r>
        <w:rPr>
          <w:b w:val="1"/>
        </w:rPr>
        <w:t>5. Планируемый срок вступления  в  силу  предлагаемого  правового регулирования</w:t>
      </w:r>
      <w:r>
        <w:t xml:space="preserve">: 3 квартал 2025 года </w:t>
      </w:r>
    </w:p>
    <w:p w14:paraId="1E000000">
      <w:pPr>
        <w:pStyle w:val="Style_1"/>
        <w:widowControl w:val="1"/>
        <w:ind w:firstLine="720"/>
        <w:jc w:val="both"/>
        <w:rPr>
          <w:b w:val="1"/>
        </w:rPr>
      </w:pPr>
    </w:p>
    <w:p w14:paraId="1F000000">
      <w:pPr>
        <w:pStyle w:val="Style_1"/>
        <w:widowControl w:val="1"/>
        <w:ind w:firstLine="720"/>
        <w:jc w:val="both"/>
        <w:rPr>
          <w:b w:val="1"/>
        </w:rPr>
      </w:pPr>
      <w:r>
        <w:rPr>
          <w:b w:val="1"/>
        </w:rPr>
        <w:t>6.  Сведения  о необходимости или отсутствии необходимости установления</w:t>
      </w:r>
    </w:p>
    <w:p w14:paraId="20000000">
      <w:pPr>
        <w:pStyle w:val="Style_1"/>
        <w:widowControl w:val="1"/>
        <w:ind/>
        <w:jc w:val="both"/>
      </w:pPr>
      <w:r>
        <w:rPr>
          <w:b w:val="1"/>
        </w:rPr>
        <w:t>переходного периода:</w:t>
      </w:r>
      <w:r>
        <w:t xml:space="preserve"> </w:t>
      </w:r>
      <w:r>
        <w:t>необходимость</w:t>
      </w:r>
      <w:r>
        <w:t xml:space="preserve"> установления переходного периода отсутствует </w:t>
      </w:r>
    </w:p>
    <w:p w14:paraId="21000000">
      <w:pPr>
        <w:pStyle w:val="Style_1"/>
        <w:widowControl w:val="1"/>
        <w:ind w:firstLine="720"/>
        <w:jc w:val="both"/>
      </w:pPr>
    </w:p>
    <w:p w14:paraId="22000000">
      <w:pPr>
        <w:pStyle w:val="Style_1"/>
        <w:widowControl w:val="1"/>
        <w:ind w:firstLine="720"/>
        <w:jc w:val="both"/>
        <w:rPr>
          <w:b w:val="1"/>
        </w:rPr>
      </w:pPr>
      <w:r>
        <w:rPr>
          <w:b w:val="1"/>
        </w:rPr>
        <w:t>7. Сравнение возможных вариантов решения проблемы:</w:t>
      </w:r>
    </w:p>
    <w:tbl>
      <w:tblPr>
        <w:tblStyle w:val="Style_4"/>
        <w:tblW w:type="auto" w:w="0"/>
        <w:tblLayout w:type="fixed"/>
      </w:tblPr>
      <w:tblGrid>
        <w:gridCol w:w="3117"/>
        <w:gridCol w:w="3119"/>
        <w:gridCol w:w="3119"/>
      </w:tblGrid>
      <w:tr>
        <w:tc>
          <w:tcPr>
            <w:tcW w:type="dxa" w:w="3117"/>
          </w:tcPr>
          <w:p w14:paraId="23000000">
            <w:pPr>
              <w:pStyle w:val="Style_1"/>
            </w:pPr>
          </w:p>
        </w:tc>
        <w:tc>
          <w:tcPr>
            <w:tcW w:type="dxa" w:w="3119"/>
          </w:tcPr>
          <w:p w14:paraId="24000000">
            <w:pPr>
              <w:pStyle w:val="Style_1"/>
            </w:pPr>
            <w:r>
              <w:t>Вариант 1</w:t>
            </w:r>
          </w:p>
        </w:tc>
        <w:tc>
          <w:tcPr>
            <w:tcW w:type="dxa" w:w="3119"/>
          </w:tcPr>
          <w:p w14:paraId="25000000">
            <w:pPr>
              <w:pStyle w:val="Style_1"/>
            </w:pPr>
            <w:r>
              <w:t>Вариант 2</w:t>
            </w:r>
          </w:p>
        </w:tc>
      </w:tr>
      <w:tr>
        <w:tc>
          <w:tcPr>
            <w:tcW w:type="dxa" w:w="3117"/>
          </w:tcPr>
          <w:p w14:paraId="26000000">
            <w:pPr>
              <w:pStyle w:val="Style_1"/>
            </w:pPr>
            <w:r>
              <w:t>7.1. Содержание варианта решения выявленной проблемы</w:t>
            </w:r>
          </w:p>
          <w:p w14:paraId="27000000">
            <w:pPr>
              <w:pStyle w:val="Style_1"/>
            </w:pPr>
          </w:p>
        </w:tc>
        <w:tc>
          <w:tcPr>
            <w:tcW w:type="dxa" w:w="3119"/>
          </w:tcPr>
          <w:p w14:paraId="28000000">
            <w:pPr>
              <w:rPr>
                <w:sz w:val="24"/>
              </w:rPr>
            </w:pPr>
            <w:r>
              <w:rPr>
                <w:sz w:val="24"/>
              </w:rPr>
              <w:t xml:space="preserve">Утверждение Методических рекомендаций по применению </w:t>
            </w:r>
            <w:r>
              <w:rPr>
                <w:sz w:val="24"/>
              </w:rPr>
              <w:t>ЭКГ-рейтинга</w:t>
            </w:r>
            <w:r>
              <w:rPr>
                <w:sz w:val="24"/>
              </w:rPr>
              <w:t xml:space="preserve"> в закупочных процедурах, предоставляющих заказчикам инструменты для оценки деловой репутации участников электронных конкурсов. Использование стандартизированного подхода к оценке, основанного на национальном стандарте ГОСТ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 71198-2023.</w:t>
            </w:r>
          </w:p>
        </w:tc>
        <w:tc>
          <w:tcPr>
            <w:tcW w:type="dxa" w:w="3119"/>
          </w:tcPr>
          <w:p w14:paraId="29000000">
            <w:pPr>
              <w:pStyle w:val="Style_1"/>
            </w:pPr>
            <w:r>
              <w:t>Отсутствие Методических рекомендаций и сохранение текущей практики оценки заявок, основанной на субъективных критериях. Приводит к снижению прозрачности и объективности закупочных процедур, а также повышает риск выбора ненадежных поставщиков.</w:t>
            </w:r>
          </w:p>
        </w:tc>
      </w:tr>
      <w:tr>
        <w:tc>
          <w:tcPr>
            <w:tcW w:type="dxa" w:w="3117"/>
          </w:tcPr>
          <w:p w14:paraId="2A000000">
            <w:pPr>
              <w:pStyle w:val="Style_1"/>
            </w:pPr>
            <w: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  <w:p w14:paraId="2B000000">
            <w:pPr>
              <w:pStyle w:val="Style_1"/>
            </w:pPr>
          </w:p>
        </w:tc>
        <w:tc>
          <w:tcPr>
            <w:tcW w:type="dxa" w:w="3119"/>
          </w:tcPr>
          <w:p w14:paraId="2C000000">
            <w:pPr>
              <w:pStyle w:val="Style_1"/>
            </w:pPr>
            <w:r>
              <w:t xml:space="preserve">Государственные и муниципальные заказчики Курской области, осуществляющие закупки товаров, работ, услуг в соответствии с Федеральным законом № 44-ФЗ. Оценка численности потенциальных адресатов по данным </w:t>
            </w:r>
            <w:r>
              <w:t>ЕИС</w:t>
            </w:r>
            <w:r>
              <w:t xml:space="preserve"> составляет более 350 организаций.                                                              </w:t>
            </w:r>
          </w:p>
        </w:tc>
        <w:tc>
          <w:tcPr>
            <w:tcW w:type="dxa" w:w="3119"/>
          </w:tcPr>
          <w:p w14:paraId="2D000000">
            <w:pPr>
              <w:pStyle w:val="Style_1"/>
            </w:pPr>
          </w:p>
        </w:tc>
      </w:tr>
      <w:tr>
        <w:tc>
          <w:tcPr>
            <w:tcW w:type="dxa" w:w="3117"/>
          </w:tcPr>
          <w:p w14:paraId="2E000000">
            <w:pPr>
              <w:pStyle w:val="Style_1"/>
            </w:pPr>
            <w:r>
              <w:t xml:space="preserve">7.3. Оценка дополнительных расходов (доходов) потенциальных адресатов предлагаемого правового регулирования, связанных с </w:t>
            </w:r>
            <w:r>
              <w:t>его введением</w:t>
            </w:r>
          </w:p>
          <w:p w14:paraId="2F000000">
            <w:pPr>
              <w:pStyle w:val="Style_1"/>
            </w:pPr>
          </w:p>
        </w:tc>
        <w:tc>
          <w:tcPr>
            <w:tcW w:type="dxa" w:w="3119"/>
          </w:tcPr>
          <w:p w14:paraId="30000000">
            <w:pPr>
              <w:pStyle w:val="Style_1"/>
            </w:pPr>
            <w:r>
              <w:t xml:space="preserve">Минимальные расходы, связанные с внедрением Методических рекомендаций. Потенциальное снижение </w:t>
            </w:r>
            <w:r>
              <w:t xml:space="preserve">рисков, связанных с некачественным исполнением контрактов, что может привести к экономии бюджетных средств в долгосрочной перспективе.      </w:t>
            </w:r>
          </w:p>
        </w:tc>
        <w:tc>
          <w:tcPr>
            <w:tcW w:type="dxa" w:w="3119"/>
          </w:tcPr>
          <w:p w14:paraId="31000000">
            <w:pPr>
              <w:pStyle w:val="Style_1"/>
            </w:pPr>
            <w:r>
              <w:t xml:space="preserve">Отсутствие дополнительных расходов. Сохраняются риски, связанные с неэффективным использованием бюджетных </w:t>
            </w:r>
            <w:r>
              <w:t>средств из-за выбора ненадежных поставщиков.</w:t>
            </w:r>
          </w:p>
        </w:tc>
      </w:tr>
      <w:tr>
        <w:tc>
          <w:tcPr>
            <w:tcW w:type="dxa" w:w="3117"/>
          </w:tcPr>
          <w:p w14:paraId="32000000">
            <w:pPr>
              <w:pStyle w:val="Style_1"/>
            </w:pPr>
            <w:r>
              <w:t>7.4. Оценка расходов (доходов) бюджета Курской области, связанных с введением предлагаемого правового регулирования</w:t>
            </w:r>
          </w:p>
          <w:p w14:paraId="33000000">
            <w:pPr>
              <w:pStyle w:val="Style_1"/>
            </w:pPr>
          </w:p>
        </w:tc>
        <w:tc>
          <w:tcPr>
            <w:tcW w:type="dxa" w:w="3119"/>
          </w:tcPr>
          <w:p w14:paraId="34000000">
            <w:pPr>
              <w:pStyle w:val="Style_1"/>
            </w:pPr>
            <w:r>
              <w:t xml:space="preserve">Отсутствие дополнительных расходов из бюджета Курской области. Внедрение Методических рекомендаций не требует дополнительных финансовых затрат.  </w:t>
            </w:r>
          </w:p>
        </w:tc>
        <w:tc>
          <w:tcPr>
            <w:tcW w:type="dxa" w:w="3119"/>
          </w:tcPr>
          <w:p w14:paraId="35000000">
            <w:pPr>
              <w:pStyle w:val="Style_1"/>
            </w:pPr>
            <w:r>
              <w:t xml:space="preserve">Отсутствие влияния на бюджет Курской области.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c>
          <w:tcPr>
            <w:tcW w:type="dxa" w:w="3117"/>
          </w:tcPr>
          <w:p w14:paraId="36000000">
            <w:pPr>
              <w:pStyle w:val="Style_1"/>
            </w:pPr>
            <w: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  <w:p w14:paraId="37000000">
            <w:pPr>
              <w:pStyle w:val="Style_1"/>
            </w:pPr>
          </w:p>
        </w:tc>
        <w:tc>
          <w:tcPr>
            <w:tcW w:type="dxa" w:w="3119"/>
          </w:tcPr>
          <w:p w14:paraId="38000000">
            <w:pPr>
              <w:pStyle w:val="Style_1"/>
            </w:pPr>
            <w:r>
              <w:t xml:space="preserve">Вероятность достижения целей высокая. Методические рекомендации направлены на повышение эффективности закупочной деятельности и стимулирование развития конкуренции. Использование </w:t>
            </w:r>
            <w:r>
              <w:t>ЭКГ-рейтинга</w:t>
            </w:r>
            <w:r>
              <w:t xml:space="preserve"> позволяет более точно оценить квалификацию участников закупок.                                        </w:t>
            </w:r>
          </w:p>
        </w:tc>
        <w:tc>
          <w:tcPr>
            <w:tcW w:type="dxa" w:w="3119"/>
          </w:tcPr>
          <w:p w14:paraId="39000000">
            <w:pPr>
              <w:pStyle w:val="Style_1"/>
            </w:pPr>
            <w:r>
              <w:t>Низкая вероятность достижения целей</w:t>
            </w:r>
          </w:p>
        </w:tc>
      </w:tr>
      <w:tr>
        <w:tc>
          <w:tcPr>
            <w:tcW w:type="dxa" w:w="3117"/>
          </w:tcPr>
          <w:p w14:paraId="3A000000">
            <w:pPr>
              <w:pStyle w:val="Style_1"/>
            </w:pPr>
            <w:r>
              <w:t>7.6. Оценка рисков неблагоприятных последствий</w:t>
            </w:r>
          </w:p>
          <w:p w14:paraId="3B000000">
            <w:pPr>
              <w:pStyle w:val="Style_1"/>
            </w:pPr>
          </w:p>
        </w:tc>
        <w:tc>
          <w:tcPr>
            <w:tcW w:type="dxa" w:w="3119"/>
          </w:tcPr>
          <w:p w14:paraId="3C000000">
            <w:pPr>
              <w:pStyle w:val="Style_1"/>
            </w:pPr>
            <w:r>
              <w:t xml:space="preserve">Риск формального применения Методических рекомендаций. Необходим мониторинг применения </w:t>
            </w:r>
            <w:r>
              <w:t>ЭКГ-рейтинга</w:t>
            </w:r>
            <w:r>
              <w:t xml:space="preserve"> и разъяснительная работа с заказчиками.                                                                                                                                                </w:t>
            </w:r>
          </w:p>
        </w:tc>
        <w:tc>
          <w:tcPr>
            <w:tcW w:type="dxa" w:w="3119"/>
          </w:tcPr>
          <w:p w14:paraId="3D000000">
            <w:pPr>
              <w:pStyle w:val="Style_1"/>
            </w:pPr>
            <w:r>
              <w:t xml:space="preserve">Сохранение рисков, связанных с неэффективным использованием бюджетных средств.                                                                                                                                                                 </w:t>
            </w:r>
          </w:p>
        </w:tc>
      </w:tr>
    </w:tbl>
    <w:p w14:paraId="3E000000">
      <w:pPr>
        <w:pStyle w:val="Style_1"/>
      </w:pPr>
    </w:p>
    <w:p w14:paraId="3F000000">
      <w:pPr>
        <w:pStyle w:val="Style_1"/>
        <w:rPr>
          <w:b w:val="1"/>
        </w:rPr>
      </w:pPr>
      <w:r>
        <w:rPr>
          <w:b w:val="1"/>
        </w:rPr>
        <w:t>8.  Иная  информация  по  решению  органа-разработчика,  относящаяся  к</w:t>
      </w:r>
      <w:r>
        <w:rPr>
          <w:b w:val="1"/>
        </w:rPr>
        <w:t xml:space="preserve"> </w:t>
      </w:r>
      <w:r>
        <w:rPr>
          <w:b w:val="1"/>
        </w:rPr>
        <w:t>сведениям о подготовке идеи (концепции) предлагаемого правового</w:t>
      </w:r>
      <w:r>
        <w:rPr>
          <w:b w:val="1"/>
        </w:rPr>
        <w:t xml:space="preserve"> </w:t>
      </w:r>
      <w:r>
        <w:rPr>
          <w:b w:val="1"/>
        </w:rPr>
        <w:t>регулирования:</w:t>
      </w:r>
    </w:p>
    <w:p w14:paraId="40000000">
      <w:pPr>
        <w:pStyle w:val="Style_1"/>
      </w:pPr>
      <w:r>
        <w:t xml:space="preserve">Проект приказа носит рекомендательный характер и не устанавливает обязательных требований к заказчикам. Применение Методических рекомендаций является правом, а не обязанностью государственных и муниципальных заказчиков Курской области. Реализация положений проекта приказа не повлечет дополнительных финансовых затрат из областного бюджета, а также не окажет существенного влияния на достижение целей государственных программ Курской области и не повлечет значительных негативных социально-экономических и иных последствий, в том числе для субъектов предпринимательской и иной экономической деятельности. Проект приказа не содержит положений, устанавливающих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или соответствие которым проверяется при выдаче разрешений, лицензий, аттестатов аккредитации, иных документов, имеющих разрешительный характер. Отмена, изменение, </w:t>
      </w:r>
      <w:r>
        <w:t>дополнение, признание утратившими силу, приостановление действия нормативных правовых актов Курской области в связи с принятием данного приказа не потребуется.</w:t>
      </w:r>
    </w:p>
    <w:p w14:paraId="41000000">
      <w:pPr>
        <w:pStyle w:val="Style_1"/>
        <w:rPr>
          <w:b w:val="1"/>
        </w:rPr>
      </w:pPr>
    </w:p>
    <w:p w14:paraId="42000000">
      <w:pPr>
        <w:pStyle w:val="Style_1"/>
        <w:rPr>
          <w:b w:val="1"/>
        </w:rPr>
      </w:pPr>
      <w:r>
        <w:rPr>
          <w:b w:val="1"/>
        </w:rPr>
        <w:t>9. Перечень вопросов для участников публичных обсуждений:</w:t>
      </w:r>
    </w:p>
    <w:p w14:paraId="43000000">
      <w:pPr>
        <w:pStyle w:val="Style_1"/>
      </w:pPr>
      <w:r>
        <w:t>а) "Является ли предлагаемое регулирование оптимальным способом решения</w:t>
      </w:r>
    </w:p>
    <w:p w14:paraId="44000000">
      <w:pPr>
        <w:pStyle w:val="Style_1"/>
      </w:pPr>
      <w:r>
        <w:t>проблемы?";</w:t>
      </w:r>
    </w:p>
    <w:p w14:paraId="45000000">
      <w:pPr>
        <w:pStyle w:val="Style_1"/>
      </w:pPr>
      <w:r>
        <w:t>б)  "Какие  риски  и  негативные  последствия могут возникнуть в случае</w:t>
      </w:r>
    </w:p>
    <w:p w14:paraId="46000000">
      <w:pPr>
        <w:pStyle w:val="Style_1"/>
      </w:pPr>
      <w:r>
        <w:t>принятия предлагаемого регулирования?";</w:t>
      </w:r>
    </w:p>
    <w:p w14:paraId="47000000">
      <w:pPr>
        <w:pStyle w:val="Style_1"/>
      </w:pPr>
      <w:r>
        <w:t>в)  "Какие  выгоды  и  преимущества  могут возникнуть в случае принятия</w:t>
      </w:r>
    </w:p>
    <w:p w14:paraId="48000000">
      <w:pPr>
        <w:pStyle w:val="Style_1"/>
      </w:pPr>
      <w:r>
        <w:t>предлагаемого регулирования?";</w:t>
      </w:r>
    </w:p>
    <w:p w14:paraId="49000000">
      <w:pPr>
        <w:pStyle w:val="Style_1"/>
      </w:pPr>
      <w:r>
        <w:t>г)  "Какие  альтернативные  (менее затратные и (или) более эффективные)</w:t>
      </w:r>
    </w:p>
    <w:p w14:paraId="4A000000">
      <w:pPr>
        <w:pStyle w:val="Style_1"/>
      </w:pPr>
      <w:r>
        <w:t>способы решения проблемы существуют?";</w:t>
      </w:r>
    </w:p>
    <w:p w14:paraId="4B000000">
      <w:pPr>
        <w:pStyle w:val="Style_1"/>
      </w:pPr>
      <w:r>
        <w:t>д</w:t>
      </w:r>
      <w:r>
        <w:t>) "Ваше общее мнение по предполагаемому регулированию".</w:t>
      </w:r>
    </w:p>
    <w:p w14:paraId="4C000000">
      <w:pPr>
        <w:pStyle w:val="Style_1"/>
      </w:pPr>
    </w:p>
    <w:p w14:paraId="4D000000">
      <w:pPr>
        <w:pStyle w:val="Style_1"/>
      </w:pPr>
    </w:p>
    <w:p w14:paraId="4E000000">
      <w:pPr>
        <w:pStyle w:val="Style_1"/>
      </w:pPr>
      <w:r>
        <w:t>К уведомлению прилагаются:</w:t>
      </w:r>
    </w:p>
    <w:p w14:paraId="4F000000">
      <w:pPr>
        <w:pStyle w:val="Style_1"/>
      </w:pPr>
    </w:p>
    <w:p w14:paraId="50000000">
      <w:pPr>
        <w:pStyle w:val="Style_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Приложения отсутствуют.</w:t>
      </w:r>
    </w:p>
    <w:p w14:paraId="51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52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53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</w:t>
      </w:r>
    </w:p>
    <w:p w14:paraId="54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исполнительного органа</w:t>
      </w:r>
    </w:p>
    <w:p w14:paraId="55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Курской области (разработчика) </w:t>
      </w:r>
    </w:p>
    <w:p w14:paraId="56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57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Временно исполняющий </w:t>
      </w:r>
    </w:p>
    <w:p w14:paraId="58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обязанности министра </w:t>
      </w:r>
    </w:p>
    <w:p w14:paraId="59000000">
      <w:pPr>
        <w:pStyle w:val="Style_6"/>
        <w:widowControl w:val="1"/>
        <w:tabs>
          <w:tab w:leader="none" w:pos="9360" w:val="right"/>
        </w:tabs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имущества Курской области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Д.А. Савин </w:t>
      </w:r>
    </w:p>
    <w:p w14:paraId="5A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5B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</w:p>
    <w:p w14:paraId="5C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июня 2025 г.</w:t>
      </w:r>
    </w:p>
    <w:p w14:paraId="5D000000">
      <w:pPr>
        <w:pStyle w:val="Style_6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</w:t>
      </w:r>
    </w:p>
    <w:p w14:paraId="5E000000">
      <w:pPr>
        <w:pStyle w:val="Style_5"/>
        <w:rPr>
          <w:rFonts w:ascii="Times New Roman" w:hAnsi="Times New Roman"/>
          <w:sz w:val="24"/>
        </w:rPr>
      </w:pPr>
    </w:p>
    <w:p w14:paraId="5F000000">
      <w:pPr>
        <w:pStyle w:val="Style_1"/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default="1" w:styleId="Style_7_ch" w:type="character">
    <w:name w:val="Normal"/>
    <w:link w:val="Style_7"/>
    <w:rPr>
      <w:rFonts w:ascii="Times New Roman" w:hAnsi="Times New Roman"/>
      <w:sz w:val="20"/>
    </w:rPr>
  </w:style>
  <w:style w:styleId="Style_3" w:type="paragraph">
    <w:name w:val="pt-a-000002"/>
    <w:basedOn w:val="Style_7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pt-a-000002"/>
    <w:basedOn w:val="Style_7_ch"/>
    <w:link w:val="Style_3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pt-a0-000003"/>
    <w:basedOn w:val="Style_10"/>
    <w:link w:val="Style_9_ch"/>
  </w:style>
  <w:style w:styleId="Style_9_ch" w:type="character">
    <w:name w:val="pt-a0-000003"/>
    <w:basedOn w:val="Style_10_ch"/>
    <w:link w:val="Style_9"/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ConsPlusNormal"/>
    <w:link w:val="Style_5"/>
    <w:rPr>
      <w:rFonts w:ascii="Calibri" w:hAnsi="Calibri"/>
    </w:rPr>
  </w:style>
  <w:style w:styleId="Style_16" w:type="paragraph">
    <w:name w:val="НПА"/>
    <w:basedOn w:val="Style_17"/>
    <w:link w:val="Style_16_ch"/>
    <w:pPr>
      <w:widowControl w:val="1"/>
      <w:tabs>
        <w:tab w:leader="none" w:pos="720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6_ch" w:type="character">
    <w:name w:val="НПА"/>
    <w:basedOn w:val="Style_17_ch"/>
    <w:link w:val="Style_16"/>
    <w:rPr>
      <w:rFonts w:ascii="Times New Roman" w:hAnsi="Times New Roman"/>
      <w:sz w:val="28"/>
    </w:rPr>
  </w:style>
  <w:style w:styleId="Style_17" w:type="paragraph">
    <w:name w:val="List Paragraph"/>
    <w:basedOn w:val="Style_7"/>
    <w:link w:val="Style_17_ch"/>
    <w:pPr>
      <w:widowControl w:val="1"/>
      <w:spacing w:after="200" w:line="276" w:lineRule="auto"/>
      <w:ind w:left="720"/>
      <w:contextualSpacing w:val="1"/>
    </w:pPr>
    <w:rPr>
      <w:rFonts w:asciiTheme="minorAscii" w:hAnsiTheme="minorHAnsi"/>
      <w:sz w:val="22"/>
    </w:rPr>
  </w:style>
  <w:style w:styleId="Style_17_ch" w:type="character">
    <w:name w:val="List Paragraph"/>
    <w:basedOn w:val="Style_7_ch"/>
    <w:link w:val="Style_17"/>
    <w:rPr>
      <w:rFonts w:asciiTheme="minorAscii" w:hAnsiTheme="minorHAnsi"/>
      <w:sz w:val="22"/>
    </w:rPr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No Spacing"/>
    <w:link w:val="Style_19_ch"/>
    <w:pPr>
      <w:widowControl w:val="1"/>
      <w:spacing w:after="0" w:line="240" w:lineRule="auto"/>
      <w:ind/>
    </w:pPr>
  </w:style>
  <w:style w:styleId="Style_19_ch" w:type="character">
    <w:name w:val="No Spacing"/>
    <w:link w:val="Style_19"/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7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uv3um"/>
    <w:basedOn w:val="Style_10"/>
    <w:link w:val="Style_22_ch"/>
  </w:style>
  <w:style w:styleId="Style_22_ch" w:type="character">
    <w:name w:val="uv3um"/>
    <w:basedOn w:val="Style_10_ch"/>
    <w:link w:val="Style_22"/>
  </w:style>
  <w:style w:styleId="Style_2" w:type="paragraph">
    <w:name w:val="Hyperlink"/>
    <w:basedOn w:val="Style_10"/>
    <w:link w:val="Style_2_ch"/>
    <w:rPr>
      <w:color w:val="0000FF"/>
      <w:u w:val="single"/>
    </w:rPr>
  </w:style>
  <w:style w:styleId="Style_2_ch" w:type="character">
    <w:name w:val="Hyperlink"/>
    <w:basedOn w:val="Style_10_ch"/>
    <w:link w:val="Style_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1" w:type="paragraph">
    <w:name w:val="Стиль1"/>
    <w:basedOn w:val="Style_19"/>
    <w:link w:val="Style_1_ch"/>
    <w:rPr>
      <w:rFonts w:ascii="Times New Roman" w:hAnsi="Times New Roman"/>
      <w:sz w:val="24"/>
    </w:rPr>
  </w:style>
  <w:style w:styleId="Style_1_ch" w:type="character">
    <w:name w:val="Стиль1"/>
    <w:basedOn w:val="Style_19_ch"/>
    <w:link w:val="Style_1"/>
    <w:rPr>
      <w:rFonts w:ascii="Times New Roman" w:hAnsi="Times New Roman"/>
      <w:sz w:val="24"/>
    </w:rPr>
  </w:style>
  <w:style w:styleId="Style_24" w:type="paragraph">
    <w:name w:val="toc 1"/>
    <w:next w:val="Style_7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pt-a0-000005"/>
    <w:basedOn w:val="Style_10"/>
    <w:link w:val="Style_25_ch"/>
  </w:style>
  <w:style w:styleId="Style_25_ch" w:type="character">
    <w:name w:val="pt-a0-000005"/>
    <w:basedOn w:val="Style_10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pt-a0-000004"/>
    <w:basedOn w:val="Style_10"/>
    <w:link w:val="Style_29_ch"/>
  </w:style>
  <w:style w:styleId="Style_29_ch" w:type="character">
    <w:name w:val="pt-a0-000004"/>
    <w:basedOn w:val="Style_10_ch"/>
    <w:link w:val="Style_29"/>
  </w:style>
  <w:style w:styleId="Style_6" w:type="paragraph">
    <w:name w:val="ConsPlusNonformat"/>
    <w:link w:val="Style_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6_ch" w:type="character">
    <w:name w:val="ConsPlusNonformat"/>
    <w:link w:val="Style_6"/>
    <w:rPr>
      <w:rFonts w:ascii="Courier New" w:hAnsi="Courier New"/>
      <w:sz w:val="20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0" w:type="paragraph">
    <w:name w:val="toc 5"/>
    <w:next w:val="Style_7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7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7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7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7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4" w:type="table">
    <w:name w:val="Table Grid"/>
    <w:basedOn w:val="Style_3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2025-06-17T16:34:00Z</dcterms:created>
  <dcterms:modified xsi:type="dcterms:W3CDTF">2025-06-18T07:46:37Z</dcterms:modified>
</cp:coreProperties>
</file>